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cs="Arial"/>
          <w:b/>
          <w:sz w:val="40"/>
          <w:szCs w:val="40"/>
        </w:rPr>
      </w:pPr>
      <w:r>
        <w:drawing>
          <wp:inline distT="0" distB="0" distL="0" distR="0">
            <wp:extent cx="2407285" cy="891540"/>
            <wp:effectExtent l="0" t="0" r="0" b="0"/>
            <wp:docPr id="2" name="图片 2" descr="Macintosh HD:Users:lluvia_xu:Desktop:logotipo-Universidad-Nebrija-V-centenari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Macintosh HD:Users:lluvia_xu:Desktop:logotipo-Universidad-Nebrija-V-centenario.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2407285" cy="891540"/>
                    </a:xfrm>
                    <a:prstGeom prst="rect">
                      <a:avLst/>
                    </a:prstGeom>
                    <a:noFill/>
                    <a:ln>
                      <a:noFill/>
                    </a:ln>
                  </pic:spPr>
                </pic:pic>
              </a:graphicData>
            </a:graphic>
          </wp:inline>
        </w:drawing>
      </w:r>
    </w:p>
    <w:p>
      <w:pPr>
        <w:jc w:val="center"/>
        <w:rPr>
          <w:rFonts w:ascii="Arial" w:hAnsi="Arial" w:cs="Arial"/>
          <w:b/>
          <w:sz w:val="40"/>
          <w:szCs w:val="40"/>
        </w:rPr>
      </w:pPr>
      <w:r>
        <w:rPr>
          <w:rFonts w:ascii="Arial" w:hAnsi="Arial" w:cs="Arial"/>
          <w:b/>
          <w:sz w:val="40"/>
          <w:szCs w:val="40"/>
        </w:rPr>
        <w:t>20</w:t>
      </w:r>
      <w:r>
        <w:rPr>
          <w:rFonts w:hint="eastAsia" w:ascii="Arial" w:hAnsi="Arial" w:cs="Arial"/>
          <w:b/>
          <w:sz w:val="40"/>
          <w:szCs w:val="40"/>
        </w:rPr>
        <w:t>2</w:t>
      </w:r>
      <w:r>
        <w:rPr>
          <w:rFonts w:hint="eastAsia" w:ascii="Arial" w:hAnsi="Arial" w:cs="Arial"/>
          <w:b/>
          <w:sz w:val="40"/>
          <w:szCs w:val="40"/>
          <w:lang w:val="en-US" w:eastAsia="zh-CN"/>
        </w:rPr>
        <w:t>7</w:t>
      </w:r>
      <w:r>
        <w:rPr>
          <w:rFonts w:hint="eastAsia" w:ascii="Arial" w:hAnsi="Arial" w:cs="Arial"/>
          <w:b/>
          <w:sz w:val="40"/>
          <w:szCs w:val="40"/>
        </w:rPr>
        <w:t>-202</w:t>
      </w:r>
      <w:r>
        <w:rPr>
          <w:rFonts w:hint="eastAsia" w:ascii="Arial" w:hAnsi="Arial" w:cs="Arial"/>
          <w:b/>
          <w:sz w:val="40"/>
          <w:szCs w:val="40"/>
          <w:lang w:val="en-US" w:eastAsia="zh-CN"/>
        </w:rPr>
        <w:t>8</w:t>
      </w:r>
      <w:r>
        <w:rPr>
          <w:rFonts w:hint="eastAsia" w:ascii="Arial" w:hAnsi="Arial" w:cs="Arial"/>
          <w:b/>
          <w:sz w:val="40"/>
          <w:szCs w:val="40"/>
        </w:rPr>
        <w:t>学年西班牙内布里哈大学</w:t>
      </w:r>
    </w:p>
    <w:p>
      <w:pPr>
        <w:jc w:val="center"/>
        <w:rPr>
          <w:rFonts w:ascii="Arial" w:hAnsi="Arial" w:cs="Arial"/>
          <w:b/>
          <w:sz w:val="40"/>
          <w:szCs w:val="40"/>
        </w:rPr>
      </w:pPr>
      <w:r>
        <w:rPr>
          <w:rFonts w:hint="eastAsia" w:ascii="Arial" w:hAnsi="Arial" w:cs="Arial"/>
          <w:b/>
          <w:sz w:val="40"/>
          <w:szCs w:val="40"/>
        </w:rPr>
        <w:t>桥梁课程</w:t>
      </w:r>
      <w:r>
        <w:rPr>
          <w:rFonts w:hint="eastAsia" w:ascii="Arial" w:hAnsi="Arial" w:cs="Arial"/>
          <w:sz w:val="40"/>
          <w:szCs w:val="40"/>
        </w:rPr>
        <w:t>（</w:t>
      </w:r>
      <w:r>
        <w:rPr>
          <w:rFonts w:ascii="Arial" w:hAnsi="Arial" w:cs="Arial"/>
          <w:sz w:val="40"/>
          <w:szCs w:val="40"/>
        </w:rPr>
        <w:t>CURSO PUENTE</w:t>
      </w:r>
      <w:r>
        <w:rPr>
          <w:rFonts w:hint="eastAsia" w:ascii="Arial" w:hAnsi="Arial" w:cs="Arial"/>
          <w:sz w:val="40"/>
          <w:szCs w:val="40"/>
        </w:rPr>
        <w:t>）</w:t>
      </w:r>
      <w:r>
        <w:rPr>
          <w:rFonts w:ascii="Arial" w:hAnsi="Arial" w:cs="Arial"/>
          <w:b/>
          <w:sz w:val="40"/>
          <w:szCs w:val="40"/>
        </w:rPr>
        <w:t>项目</w:t>
      </w:r>
    </w:p>
    <w:p>
      <w:pPr>
        <w:spacing w:line="360" w:lineRule="exact"/>
        <w:rPr>
          <w:rFonts w:ascii="微软雅黑" w:hAnsi="微软雅黑" w:eastAsia="微软雅黑" w:cs="Arial"/>
          <w:b/>
          <w:szCs w:val="32"/>
        </w:rPr>
      </w:pPr>
    </w:p>
    <w:p>
      <w:pPr>
        <w:spacing w:line="360" w:lineRule="exact"/>
        <w:rPr>
          <w:rFonts w:cs="Arial" w:asciiTheme="majorEastAsia" w:hAnsiTheme="majorEastAsia" w:eastAsiaTheme="majorEastAsia"/>
          <w:b/>
          <w:color w:val="FF6600"/>
          <w:szCs w:val="32"/>
        </w:rPr>
      </w:pPr>
      <w:r>
        <w:rPr>
          <w:rFonts w:cs="Arial" w:asciiTheme="majorEastAsia" w:hAnsiTheme="majorEastAsia" w:eastAsiaTheme="majorEastAsia"/>
          <w:b/>
          <w:color w:val="FF6600"/>
          <w:szCs w:val="32"/>
        </w:rPr>
        <w:t>院校简介 Universidad Antonio de Nebrija</w:t>
      </w:r>
    </w:p>
    <w:p>
      <w:pPr>
        <w:rPr>
          <w:rFonts w:cs="Arial" w:asciiTheme="majorEastAsia" w:hAnsiTheme="majorEastAsia" w:eastAsiaTheme="majorEastAsia"/>
          <w:szCs w:val="32"/>
        </w:rPr>
      </w:pPr>
      <w:r>
        <w:rPr>
          <w:rFonts w:hint="eastAsia" w:cs="Arial" w:asciiTheme="majorEastAsia" w:hAnsiTheme="majorEastAsia" w:eastAsiaTheme="majorEastAsia"/>
          <w:szCs w:val="32"/>
        </w:rPr>
        <w:t>内布里哈大学成立于1985年，是西班牙顶尖私立高校，拥有六个环境优美的校区，其中最主要的三个分别位于马德里市中心、马德里市区大学城，以及马德里市郊的国家公园附近。校园环境极佳，交通便利，地铁、公交可方便达到；校区内图书馆、餐厅、体育馆、计算机中心、活动中心等硬件设施一应俱全。</w:t>
      </w:r>
    </w:p>
    <w:p>
      <w:pPr>
        <w:rPr>
          <w:rFonts w:cs="Arial" w:asciiTheme="majorEastAsia" w:hAnsiTheme="majorEastAsia" w:eastAsiaTheme="majorEastAsia"/>
          <w:b/>
          <w:szCs w:val="32"/>
        </w:rPr>
      </w:pPr>
      <w:r>
        <w:rPr>
          <w:rFonts w:hint="eastAsia" w:cs="Arial" w:asciiTheme="majorEastAsia" w:hAnsiTheme="majorEastAsia" w:eastAsiaTheme="majorEastAsia"/>
          <w:szCs w:val="32"/>
        </w:rPr>
        <w:t>内布里哈大学校理事会由</w:t>
      </w:r>
      <w:r>
        <w:rPr>
          <w:rFonts w:hint="eastAsia" w:cs="Arial" w:asciiTheme="majorEastAsia" w:hAnsiTheme="majorEastAsia" w:eastAsiaTheme="majorEastAsia"/>
          <w:b/>
          <w:szCs w:val="32"/>
        </w:rPr>
        <w:t>政、学、商</w:t>
      </w:r>
      <w:r>
        <w:rPr>
          <w:rFonts w:hint="eastAsia" w:cs="Arial" w:asciiTheme="majorEastAsia" w:hAnsiTheme="majorEastAsia" w:eastAsiaTheme="majorEastAsia"/>
          <w:szCs w:val="32"/>
        </w:rPr>
        <w:t>各界名人构成，其深厚的社会以及经济背景确保学校拥有雄厚的师资力量，上乘的教学质量，以及广阔的交流和实践平台。大学是</w:t>
      </w:r>
      <w:r>
        <w:rPr>
          <w:rFonts w:hint="eastAsia" w:cs="Arial" w:asciiTheme="majorEastAsia" w:hAnsiTheme="majorEastAsia" w:eastAsiaTheme="majorEastAsia"/>
          <w:b/>
          <w:szCs w:val="32"/>
        </w:rPr>
        <w:t>西班牙对外西语教学师资培养</w:t>
      </w:r>
      <w:r>
        <w:rPr>
          <w:rFonts w:hint="eastAsia" w:cs="Arial" w:asciiTheme="majorEastAsia" w:hAnsiTheme="majorEastAsia" w:eastAsiaTheme="majorEastAsia"/>
          <w:szCs w:val="32"/>
        </w:rPr>
        <w:t>的重要基地，是塞万提斯学院的</w:t>
      </w:r>
      <w:r>
        <w:rPr>
          <w:rFonts w:hint="eastAsia" w:cs="Arial" w:asciiTheme="majorEastAsia" w:hAnsiTheme="majorEastAsia" w:eastAsiaTheme="majorEastAsia"/>
          <w:b/>
          <w:szCs w:val="32"/>
        </w:rPr>
        <w:t>DELE考试中心</w:t>
      </w:r>
      <w:r>
        <w:rPr>
          <w:rFonts w:hint="eastAsia" w:cs="Arial" w:asciiTheme="majorEastAsia" w:hAnsiTheme="majorEastAsia" w:eastAsiaTheme="majorEastAsia"/>
          <w:szCs w:val="32"/>
        </w:rPr>
        <w:t>和</w:t>
      </w:r>
      <w:r>
        <w:rPr>
          <w:rFonts w:hint="eastAsia" w:cs="Arial" w:asciiTheme="majorEastAsia" w:hAnsiTheme="majorEastAsia" w:eastAsiaTheme="majorEastAsia"/>
          <w:b/>
          <w:szCs w:val="32"/>
        </w:rPr>
        <w:t>西班牙教学质量的官方考评机构</w:t>
      </w:r>
      <w:r>
        <w:rPr>
          <w:rFonts w:hint="eastAsia" w:cs="Arial" w:asciiTheme="majorEastAsia" w:hAnsiTheme="majorEastAsia" w:eastAsiaTheme="majorEastAsia"/>
          <w:szCs w:val="32"/>
        </w:rPr>
        <w:t>。此外，</w:t>
      </w:r>
      <w:r>
        <w:rPr>
          <w:rFonts w:hint="eastAsia" w:cs="Arial" w:asciiTheme="majorEastAsia" w:hAnsiTheme="majorEastAsia" w:eastAsiaTheme="majorEastAsia"/>
          <w:b/>
          <w:szCs w:val="32"/>
        </w:rPr>
        <w:t>广告、旅游、影视制作、艺术市场和企业管理</w:t>
      </w:r>
      <w:r>
        <w:rPr>
          <w:rFonts w:hint="eastAsia" w:cs="Arial" w:asciiTheme="majorEastAsia" w:hAnsiTheme="majorEastAsia" w:eastAsiaTheme="majorEastAsia"/>
          <w:szCs w:val="32"/>
        </w:rPr>
        <w:t>等也是该校的明星专业，均排名西班牙单项专业前五。目前学校有8000多名在校生，师生比例为</w:t>
      </w:r>
      <w:r>
        <w:rPr>
          <w:rFonts w:hint="eastAsia" w:cs="Arial" w:asciiTheme="majorEastAsia" w:hAnsiTheme="majorEastAsia" w:eastAsiaTheme="majorEastAsia"/>
          <w:b/>
          <w:szCs w:val="32"/>
        </w:rPr>
        <w:t>1：10，</w:t>
      </w:r>
    </w:p>
    <w:p>
      <w:pPr>
        <w:rPr>
          <w:rFonts w:cs="Arial" w:asciiTheme="majorEastAsia" w:hAnsiTheme="majorEastAsia" w:eastAsiaTheme="majorEastAsia"/>
          <w:szCs w:val="32"/>
        </w:rPr>
      </w:pPr>
      <w:r>
        <w:rPr>
          <w:rFonts w:hint="eastAsia" w:cs="Arial" w:asciiTheme="majorEastAsia" w:hAnsiTheme="majorEastAsia" w:eastAsiaTheme="majorEastAsia"/>
          <w:szCs w:val="32"/>
        </w:rPr>
        <w:t>是名副其实的精品学校。大学与28个国家的110多个大学建立了校际交流合作；平均每年接收3000多名国际学生。</w:t>
      </w:r>
    </w:p>
    <w:p>
      <w:pPr>
        <w:spacing w:line="360" w:lineRule="exact"/>
        <w:rPr>
          <w:rFonts w:ascii="微软雅黑" w:hAnsi="微软雅黑" w:eastAsia="微软雅黑" w:cs="Arial"/>
          <w:szCs w:val="32"/>
        </w:rPr>
      </w:pPr>
    </w:p>
    <w:p>
      <w:pPr>
        <w:spacing w:line="360" w:lineRule="exact"/>
        <w:rPr>
          <w:rFonts w:cs="Arial" w:asciiTheme="majorEastAsia" w:hAnsiTheme="majorEastAsia" w:eastAsiaTheme="majorEastAsia"/>
          <w:b/>
          <w:color w:val="FF6600"/>
          <w:szCs w:val="32"/>
        </w:rPr>
      </w:pPr>
      <w:r>
        <w:rPr>
          <w:rFonts w:hint="eastAsia" w:cs="Arial" w:asciiTheme="majorEastAsia" w:hAnsiTheme="majorEastAsia" w:eastAsiaTheme="majorEastAsia"/>
          <w:b/>
          <w:color w:val="FF6600"/>
          <w:szCs w:val="32"/>
        </w:rPr>
        <w:t>学校优势</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szCs w:val="32"/>
        </w:rPr>
        <w:t>位于西班牙</w:t>
      </w:r>
      <w:r>
        <w:rPr>
          <w:rFonts w:hint="eastAsia" w:cs="Arial" w:asciiTheme="majorEastAsia" w:hAnsiTheme="majorEastAsia" w:eastAsiaTheme="majorEastAsia"/>
          <w:b/>
          <w:szCs w:val="32"/>
        </w:rPr>
        <w:t>首都</w:t>
      </w:r>
      <w:r>
        <w:rPr>
          <w:rFonts w:hint="eastAsia" w:cs="Arial" w:asciiTheme="majorEastAsia" w:hAnsiTheme="majorEastAsia" w:eastAsiaTheme="majorEastAsia"/>
          <w:szCs w:val="32"/>
        </w:rPr>
        <w:t>，也是西班牙</w:t>
      </w:r>
      <w:r>
        <w:rPr>
          <w:rFonts w:hint="eastAsia" w:cs="Arial" w:asciiTheme="majorEastAsia" w:hAnsiTheme="majorEastAsia" w:eastAsiaTheme="majorEastAsia"/>
          <w:b/>
          <w:szCs w:val="32"/>
        </w:rPr>
        <w:t>最大</w:t>
      </w:r>
      <w:r>
        <w:rPr>
          <w:rFonts w:hint="eastAsia" w:cs="Arial" w:asciiTheme="majorEastAsia" w:hAnsiTheme="majorEastAsia" w:eastAsiaTheme="majorEastAsia"/>
          <w:szCs w:val="32"/>
        </w:rPr>
        <w:t>的现代化国际大都市- 马德里</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szCs w:val="32"/>
        </w:rPr>
        <w:t>被评为西班牙</w:t>
      </w:r>
      <w:r>
        <w:rPr>
          <w:rFonts w:hint="eastAsia" w:cs="Arial" w:asciiTheme="majorEastAsia" w:hAnsiTheme="majorEastAsia" w:eastAsiaTheme="majorEastAsia"/>
          <w:b/>
          <w:szCs w:val="32"/>
        </w:rPr>
        <w:t>十大私立高校</w:t>
      </w:r>
      <w:r>
        <w:rPr>
          <w:rFonts w:hint="eastAsia" w:cs="Arial" w:asciiTheme="majorEastAsia" w:hAnsiTheme="majorEastAsia" w:eastAsiaTheme="majorEastAsia"/>
          <w:szCs w:val="32"/>
        </w:rPr>
        <w:t>，2019年</w:t>
      </w:r>
      <w:r>
        <w:rPr>
          <w:rFonts w:hint="eastAsia" w:cs="Arial" w:asciiTheme="majorEastAsia" w:hAnsiTheme="majorEastAsia" w:eastAsiaTheme="majorEastAsia"/>
          <w:b/>
          <w:szCs w:val="32"/>
        </w:rPr>
        <w:t>QS排名</w:t>
      </w:r>
      <w:r>
        <w:rPr>
          <w:rFonts w:hint="eastAsia" w:cs="Arial" w:asciiTheme="majorEastAsia" w:hAnsiTheme="majorEastAsia" w:eastAsiaTheme="majorEastAsia"/>
          <w:szCs w:val="32"/>
        </w:rPr>
        <w:t>在教学品质、包容性、就业率和远程教育等方面</w:t>
      </w:r>
      <w:r>
        <w:rPr>
          <w:rFonts w:hint="eastAsia" w:cs="Arial" w:asciiTheme="majorEastAsia" w:hAnsiTheme="majorEastAsia" w:eastAsiaTheme="majorEastAsia"/>
          <w:b/>
          <w:szCs w:val="32"/>
        </w:rPr>
        <w:t>5星</w:t>
      </w:r>
      <w:r>
        <w:rPr>
          <w:rFonts w:hint="eastAsia" w:cs="Arial" w:asciiTheme="majorEastAsia" w:hAnsiTheme="majorEastAsia" w:eastAsiaTheme="majorEastAsia"/>
          <w:szCs w:val="32"/>
        </w:rPr>
        <w:t>评定，</w:t>
      </w:r>
      <w:r>
        <w:rPr>
          <w:rFonts w:hint="eastAsia" w:cs="Arial" w:asciiTheme="majorEastAsia" w:hAnsiTheme="majorEastAsia" w:eastAsiaTheme="majorEastAsia"/>
          <w:b/>
          <w:szCs w:val="32"/>
        </w:rPr>
        <w:t>U-</w:t>
      </w:r>
      <w:r>
        <w:rPr>
          <w:rFonts w:cs="Arial" w:asciiTheme="majorEastAsia" w:hAnsiTheme="majorEastAsia" w:eastAsiaTheme="majorEastAsia"/>
          <w:b/>
          <w:szCs w:val="32"/>
        </w:rPr>
        <w:t>Ranking</w:t>
      </w:r>
      <w:r>
        <w:rPr>
          <w:rFonts w:hint="eastAsia" w:cs="Arial" w:asciiTheme="majorEastAsia" w:hAnsiTheme="majorEastAsia" w:eastAsiaTheme="majorEastAsia"/>
          <w:szCs w:val="32"/>
        </w:rPr>
        <w:t>2017年</w:t>
      </w:r>
      <w:r>
        <w:rPr>
          <w:rFonts w:hint="eastAsia" w:cs="Arial" w:asciiTheme="majorEastAsia" w:hAnsiTheme="majorEastAsia" w:eastAsiaTheme="majorEastAsia"/>
          <w:b/>
          <w:szCs w:val="32"/>
        </w:rPr>
        <w:t>教学质量</w:t>
      </w:r>
      <w:r>
        <w:rPr>
          <w:rFonts w:hint="eastAsia" w:cs="Arial" w:asciiTheme="majorEastAsia" w:hAnsiTheme="majorEastAsia" w:eastAsiaTheme="majorEastAsia"/>
          <w:szCs w:val="32"/>
        </w:rPr>
        <w:t>西班牙大学排名</w:t>
      </w:r>
      <w:r>
        <w:rPr>
          <w:rFonts w:hint="eastAsia" w:cs="Arial" w:asciiTheme="majorEastAsia" w:hAnsiTheme="majorEastAsia" w:eastAsiaTheme="majorEastAsia"/>
          <w:b/>
          <w:szCs w:val="32"/>
        </w:rPr>
        <w:t>第一</w:t>
      </w:r>
      <w:r>
        <w:rPr>
          <w:rFonts w:hint="eastAsia" w:cs="Arial" w:asciiTheme="majorEastAsia" w:hAnsiTheme="majorEastAsia" w:eastAsiaTheme="majorEastAsia"/>
          <w:szCs w:val="32"/>
        </w:rPr>
        <w:t>、</w:t>
      </w:r>
      <w:r>
        <w:rPr>
          <w:rFonts w:hint="eastAsia" w:cs="Arial" w:asciiTheme="majorEastAsia" w:hAnsiTheme="majorEastAsia" w:eastAsiaTheme="majorEastAsia"/>
          <w:b/>
          <w:szCs w:val="32"/>
        </w:rPr>
        <w:t>就业率</w:t>
      </w:r>
      <w:r>
        <w:rPr>
          <w:rFonts w:hint="eastAsia" w:cs="Arial" w:asciiTheme="majorEastAsia" w:hAnsiTheme="majorEastAsia" w:eastAsiaTheme="majorEastAsia"/>
          <w:szCs w:val="32"/>
        </w:rPr>
        <w:t>西班牙排名</w:t>
      </w:r>
      <w:r>
        <w:rPr>
          <w:rFonts w:hint="eastAsia" w:cs="Arial" w:asciiTheme="majorEastAsia" w:hAnsiTheme="majorEastAsia" w:eastAsiaTheme="majorEastAsia"/>
          <w:b/>
          <w:szCs w:val="32"/>
        </w:rPr>
        <w:t>第二</w:t>
      </w:r>
      <w:r>
        <w:rPr>
          <w:rFonts w:hint="eastAsia" w:cs="Arial" w:asciiTheme="majorEastAsia" w:hAnsiTheme="majorEastAsia" w:eastAsiaTheme="majorEastAsia"/>
          <w:szCs w:val="32"/>
        </w:rPr>
        <w:t>，</w:t>
      </w:r>
      <w:r>
        <w:rPr>
          <w:rFonts w:hint="eastAsia" w:cs="Arial" w:asciiTheme="majorEastAsia" w:hAnsiTheme="majorEastAsia" w:eastAsiaTheme="majorEastAsia"/>
          <w:b/>
          <w:szCs w:val="32"/>
        </w:rPr>
        <w:t>拥有雄厚的师资力量以及出色的教学质量</w:t>
      </w:r>
      <w:r>
        <w:rPr>
          <w:rFonts w:hint="eastAsia" w:cs="Arial" w:asciiTheme="majorEastAsia" w:hAnsiTheme="majorEastAsia" w:eastAsiaTheme="majorEastAsia"/>
          <w:szCs w:val="32"/>
        </w:rPr>
        <w:t>。</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szCs w:val="32"/>
        </w:rPr>
        <w:t>西班牙首屈一指的对外西班牙语教学机构，承办中西两国教育部合作的教师培训项目</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b/>
          <w:szCs w:val="32"/>
        </w:rPr>
        <w:t>DELE考试中心</w:t>
      </w:r>
      <w:r>
        <w:rPr>
          <w:rFonts w:hint="eastAsia" w:cs="Arial" w:asciiTheme="majorEastAsia" w:hAnsiTheme="majorEastAsia" w:eastAsiaTheme="majorEastAsia"/>
          <w:szCs w:val="32"/>
        </w:rPr>
        <w:t>，拥有考官以及专业教师、出版专业教材并提供DELE备考强化课程</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b/>
          <w:szCs w:val="32"/>
        </w:rPr>
        <w:t>1:10</w:t>
      </w:r>
      <w:r>
        <w:rPr>
          <w:rFonts w:hint="eastAsia" w:cs="Arial" w:asciiTheme="majorEastAsia" w:hAnsiTheme="majorEastAsia" w:eastAsiaTheme="majorEastAsia"/>
          <w:szCs w:val="32"/>
        </w:rPr>
        <w:t>的师生比例为学生带来更高的</w:t>
      </w:r>
      <w:r>
        <w:rPr>
          <w:rFonts w:hint="eastAsia" w:cs="Arial" w:asciiTheme="majorEastAsia" w:hAnsiTheme="majorEastAsia" w:eastAsiaTheme="majorEastAsia"/>
          <w:b/>
          <w:szCs w:val="32"/>
        </w:rPr>
        <w:t>个人关注</w:t>
      </w:r>
      <w:r>
        <w:rPr>
          <w:rFonts w:hint="eastAsia" w:cs="Arial" w:asciiTheme="majorEastAsia" w:hAnsiTheme="majorEastAsia" w:eastAsiaTheme="majorEastAsia"/>
          <w:szCs w:val="32"/>
        </w:rPr>
        <w:t>， 保证</w:t>
      </w:r>
      <w:r>
        <w:rPr>
          <w:rFonts w:hint="eastAsia" w:cs="Arial" w:asciiTheme="majorEastAsia" w:hAnsiTheme="majorEastAsia" w:eastAsiaTheme="majorEastAsia"/>
          <w:b/>
          <w:szCs w:val="32"/>
        </w:rPr>
        <w:t>学习效果</w:t>
      </w:r>
      <w:r>
        <w:rPr>
          <w:rFonts w:hint="eastAsia" w:cs="Arial" w:asciiTheme="majorEastAsia" w:hAnsiTheme="majorEastAsia" w:eastAsiaTheme="majorEastAsia"/>
          <w:szCs w:val="32"/>
        </w:rPr>
        <w:t>，倡导</w:t>
      </w:r>
      <w:r>
        <w:rPr>
          <w:rFonts w:hint="eastAsia" w:cs="Arial" w:asciiTheme="majorEastAsia" w:hAnsiTheme="majorEastAsia" w:eastAsiaTheme="majorEastAsia"/>
          <w:b/>
          <w:szCs w:val="32"/>
        </w:rPr>
        <w:t>“精品教学”</w:t>
      </w:r>
      <w:r>
        <w:rPr>
          <w:rFonts w:hint="eastAsia" w:cs="Arial" w:asciiTheme="majorEastAsia" w:hAnsiTheme="majorEastAsia" w:eastAsiaTheme="majorEastAsia"/>
          <w:szCs w:val="32"/>
        </w:rPr>
        <w:t>体系</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szCs w:val="32"/>
        </w:rPr>
        <w:t>有多项专业在西班牙单科排名</w:t>
      </w:r>
      <w:r>
        <w:rPr>
          <w:rFonts w:hint="eastAsia" w:cs="Arial" w:asciiTheme="majorEastAsia" w:hAnsiTheme="majorEastAsia" w:eastAsiaTheme="majorEastAsia"/>
          <w:b/>
          <w:szCs w:val="32"/>
        </w:rPr>
        <w:t>前五</w:t>
      </w:r>
      <w:r>
        <w:rPr>
          <w:rFonts w:hint="eastAsia" w:cs="Arial" w:asciiTheme="majorEastAsia" w:hAnsiTheme="majorEastAsia" w:eastAsiaTheme="majorEastAsia"/>
          <w:szCs w:val="32"/>
        </w:rPr>
        <w:t>，</w:t>
      </w:r>
      <w:r>
        <w:rPr>
          <w:rFonts w:hint="eastAsia" w:cs="Arial" w:asciiTheme="majorEastAsia" w:hAnsiTheme="majorEastAsia" w:eastAsiaTheme="majorEastAsia"/>
          <w:b/>
          <w:szCs w:val="32"/>
        </w:rPr>
        <w:t>旅游专业</w:t>
      </w:r>
      <w:r>
        <w:rPr>
          <w:rFonts w:hint="eastAsia" w:cs="Arial" w:asciiTheme="majorEastAsia" w:hAnsiTheme="majorEastAsia" w:eastAsiaTheme="majorEastAsia"/>
          <w:szCs w:val="32"/>
        </w:rPr>
        <w:t>获得</w:t>
      </w:r>
      <w:r>
        <w:rPr>
          <w:rFonts w:hint="eastAsia" w:cs="Arial" w:asciiTheme="majorEastAsia" w:hAnsiTheme="majorEastAsia" w:eastAsiaTheme="majorEastAsia"/>
          <w:b/>
          <w:szCs w:val="32"/>
        </w:rPr>
        <w:t>联合国世界旅游组织教育质量认证</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b/>
          <w:szCs w:val="32"/>
        </w:rPr>
        <w:t>30%</w:t>
      </w:r>
      <w:r>
        <w:rPr>
          <w:rFonts w:hint="eastAsia" w:cs="Arial" w:asciiTheme="majorEastAsia" w:hAnsiTheme="majorEastAsia" w:eastAsiaTheme="majorEastAsia"/>
          <w:szCs w:val="32"/>
        </w:rPr>
        <w:t>的留学生比例为学生带来更为国际化的学习环境</w:t>
      </w:r>
    </w:p>
    <w:p>
      <w:pPr>
        <w:spacing w:line="360" w:lineRule="exact"/>
        <w:rPr>
          <w:rFonts w:ascii="微软雅黑" w:hAnsi="微软雅黑" w:eastAsia="微软雅黑" w:cs="Arial"/>
          <w:szCs w:val="32"/>
        </w:rPr>
      </w:pPr>
    </w:p>
    <w:p>
      <w:pPr>
        <w:spacing w:line="360" w:lineRule="exact"/>
        <w:rPr>
          <w:rFonts w:cs="Arial" w:asciiTheme="majorEastAsia" w:hAnsiTheme="majorEastAsia" w:eastAsiaTheme="majorEastAsia"/>
          <w:b/>
          <w:color w:val="FF6600"/>
          <w:szCs w:val="32"/>
        </w:rPr>
      </w:pPr>
      <w:r>
        <w:rPr>
          <w:rFonts w:hint="eastAsia" w:cs="Arial" w:asciiTheme="majorEastAsia" w:hAnsiTheme="majorEastAsia" w:eastAsiaTheme="majorEastAsia"/>
          <w:b/>
          <w:color w:val="FF6600"/>
          <w:szCs w:val="32"/>
        </w:rPr>
        <w:t>项目描述：</w:t>
      </w:r>
    </w:p>
    <w:p>
      <w:pPr>
        <w:rPr>
          <w:rFonts w:cs="Arial" w:asciiTheme="majorEastAsia" w:hAnsiTheme="majorEastAsia" w:eastAsiaTheme="majorEastAsia"/>
          <w:szCs w:val="32"/>
        </w:rPr>
      </w:pPr>
      <w:r>
        <w:rPr>
          <w:rFonts w:hint="eastAsia" w:cs="Arial" w:asciiTheme="majorEastAsia" w:hAnsiTheme="majorEastAsia" w:eastAsiaTheme="majorEastAsia"/>
          <w:szCs w:val="32"/>
        </w:rPr>
        <w:t>内布里哈大学作为西班牙对外西语教学的顶尖学府向学生提供桥梁课程，遵循内布里哈大学专业教学体系，循序渐进达到硕士入学的西班牙语水平。同时学生可以利用桥梁课程了解欧洲大学教学体系、拥有欧洲大学学习经历以及欧盟ECTS学分，接触欧洲文化以及增强国际视野。</w:t>
      </w:r>
    </w:p>
    <w:p>
      <w:pPr>
        <w:rPr>
          <w:rFonts w:cs="Arial" w:asciiTheme="majorEastAsia" w:hAnsiTheme="majorEastAsia" w:eastAsiaTheme="majorEastAsia"/>
          <w:szCs w:val="32"/>
        </w:rPr>
      </w:pPr>
      <w:r>
        <w:rPr>
          <w:rFonts w:hint="eastAsia" w:cs="Arial" w:asciiTheme="majorEastAsia" w:hAnsiTheme="majorEastAsia" w:eastAsiaTheme="majorEastAsia"/>
          <w:szCs w:val="32"/>
        </w:rPr>
        <w:t>ECTS学分为欧盟及部分英美院校承认的学分体系，可进行学分兑换。 ECTS学分是在欧美教学体系内学习过的最直接的证明，是今后学生进入欧美高等教育学习的非常重要的条件。</w:t>
      </w:r>
    </w:p>
    <w:p>
      <w:pPr>
        <w:rPr>
          <w:rFonts w:cs="Arial" w:asciiTheme="majorEastAsia" w:hAnsiTheme="majorEastAsia" w:eastAsiaTheme="majorEastAsia"/>
          <w:szCs w:val="32"/>
        </w:rPr>
      </w:pPr>
      <w:r>
        <w:rPr>
          <w:rFonts w:hint="eastAsia" w:cs="Arial" w:asciiTheme="majorEastAsia" w:hAnsiTheme="majorEastAsia" w:eastAsiaTheme="majorEastAsia"/>
          <w:szCs w:val="32"/>
        </w:rPr>
        <w:t>学生在进入内布里哈大学桥梁课程后，可根据专业选择适当课程（西班牙语或英语授课）进行学分兑换，以取得学位证书。桥梁课程结束后，学生取得学士学位并达到语言要求（欧标B2水平），通过硕士课程面试，即可直接升入硕士阶段，学制一年后取得硕士学位。</w:t>
      </w:r>
    </w:p>
    <w:p>
      <w:pPr>
        <w:rPr>
          <w:rFonts w:cs="Arial" w:asciiTheme="majorEastAsia" w:hAnsiTheme="majorEastAsia" w:eastAsiaTheme="majorEastAsia"/>
          <w:szCs w:val="32"/>
        </w:rPr>
      </w:pPr>
      <w:r>
        <w:rPr>
          <w:rFonts w:hint="eastAsia" w:cs="Arial" w:asciiTheme="majorEastAsia" w:hAnsiTheme="majorEastAsia" w:eastAsiaTheme="majorEastAsia"/>
          <w:szCs w:val="32"/>
        </w:rPr>
        <w:t>内布里哈大学是经西班牙教育部以及中国教育部认可的大学，其硕士学位效力等同于中国硕士学位，可以申请博士学位或参加公务员考试。</w:t>
      </w:r>
    </w:p>
    <w:p>
      <w:pPr>
        <w:rPr>
          <w:rFonts w:cs="Arial" w:asciiTheme="majorEastAsia" w:hAnsiTheme="majorEastAsia" w:eastAsiaTheme="majorEastAsia"/>
          <w:szCs w:val="32"/>
        </w:rPr>
      </w:pPr>
    </w:p>
    <w:p>
      <w:pPr>
        <w:rPr>
          <w:rFonts w:cs="Arial" w:asciiTheme="majorEastAsia" w:hAnsiTheme="majorEastAsia" w:eastAsiaTheme="majorEastAsia"/>
          <w:b/>
          <w:color w:val="FF6600"/>
          <w:szCs w:val="32"/>
        </w:rPr>
      </w:pPr>
      <w:r>
        <w:rPr>
          <w:rFonts w:hint="eastAsia" w:cs="Arial" w:asciiTheme="majorEastAsia" w:hAnsiTheme="majorEastAsia" w:eastAsiaTheme="majorEastAsia"/>
          <w:b/>
          <w:color w:val="FF6600"/>
          <w:szCs w:val="32"/>
        </w:rPr>
        <w:t>项目优势：</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szCs w:val="32"/>
        </w:rPr>
        <w:t>内布里哈大学与</w:t>
      </w:r>
      <w:r>
        <w:rPr>
          <w:rFonts w:hint="eastAsia" w:cs="Arial" w:asciiTheme="majorEastAsia" w:hAnsiTheme="majorEastAsia" w:eastAsiaTheme="majorEastAsia"/>
          <w:szCs w:val="32"/>
          <w:lang w:val="en-US" w:eastAsia="zh-CN"/>
        </w:rPr>
        <w:t>中国</w:t>
      </w:r>
      <w:r>
        <w:rPr>
          <w:rFonts w:hint="eastAsia" w:cs="Arial" w:asciiTheme="majorEastAsia" w:hAnsiTheme="majorEastAsia" w:eastAsiaTheme="majorEastAsia"/>
          <w:szCs w:val="32"/>
        </w:rPr>
        <w:t>合作多年，所有</w:t>
      </w:r>
      <w:r>
        <w:rPr>
          <w:rFonts w:hint="eastAsia" w:cs="Arial" w:asciiTheme="majorEastAsia" w:hAnsiTheme="majorEastAsia" w:eastAsiaTheme="majorEastAsia"/>
          <w:szCs w:val="32"/>
          <w:lang w:val="en-US" w:eastAsia="zh-CN"/>
        </w:rPr>
        <w:t>桥梁课程</w:t>
      </w:r>
      <w:r>
        <w:rPr>
          <w:rFonts w:hint="eastAsia" w:cs="Arial" w:asciiTheme="majorEastAsia" w:hAnsiTheme="majorEastAsia" w:eastAsiaTheme="majorEastAsia"/>
          <w:szCs w:val="32"/>
        </w:rPr>
        <w:t>学生均已成功进入硕士阶段</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szCs w:val="32"/>
        </w:rPr>
        <w:t>内布里哈大学提供高质量的教学内容，同时100%浸入式课堂学习</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szCs w:val="32"/>
        </w:rPr>
        <w:t>高度国际化的课堂氛围，并提供英文专业可供学生选择</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szCs w:val="32"/>
        </w:rPr>
        <w:t>提供贴心的指导服务，包括指导申请居留卡，银行开户，课程申请等指导</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szCs w:val="32"/>
        </w:rPr>
        <w:t>提供升学指导，及时向学生宣传相关政策</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szCs w:val="32"/>
        </w:rPr>
        <w:t>提供实习机会，向学生提供校内及马德里大区各种实习资源</w:t>
      </w:r>
    </w:p>
    <w:p>
      <w:pPr>
        <w:pStyle w:val="8"/>
        <w:numPr>
          <w:ilvl w:val="0"/>
          <w:numId w:val="1"/>
        </w:numPr>
        <w:ind w:left="142" w:hanging="142" w:firstLineChars="0"/>
        <w:rPr>
          <w:rFonts w:cs="Arial" w:asciiTheme="majorEastAsia" w:hAnsiTheme="majorEastAsia" w:eastAsiaTheme="majorEastAsia"/>
          <w:szCs w:val="32"/>
        </w:rPr>
      </w:pPr>
      <w:r>
        <w:rPr>
          <w:rFonts w:hint="eastAsia" w:cs="Arial" w:asciiTheme="majorEastAsia" w:hAnsiTheme="majorEastAsia" w:eastAsiaTheme="majorEastAsia"/>
          <w:szCs w:val="32"/>
        </w:rPr>
        <w:t>提供文化参观活动</w:t>
      </w:r>
    </w:p>
    <w:p>
      <w:pPr>
        <w:rPr>
          <w:rFonts w:cs="Arial" w:asciiTheme="majorEastAsia" w:hAnsiTheme="majorEastAsia" w:eastAsiaTheme="majorEastAsia"/>
          <w:szCs w:val="32"/>
        </w:rPr>
      </w:pPr>
    </w:p>
    <w:p>
      <w:pPr>
        <w:spacing w:line="360" w:lineRule="exact"/>
        <w:rPr>
          <w:rFonts w:cs="Arial" w:asciiTheme="majorEastAsia" w:hAnsiTheme="majorEastAsia" w:eastAsiaTheme="majorEastAsia"/>
          <w:szCs w:val="32"/>
        </w:rPr>
      </w:pPr>
    </w:p>
    <w:p>
      <w:pPr>
        <w:rPr>
          <w:rFonts w:asciiTheme="majorEastAsia" w:hAnsiTheme="majorEastAsia" w:eastAsiaTheme="majorEastAsia"/>
          <w:b/>
          <w:color w:val="FF6600"/>
        </w:rPr>
      </w:pPr>
      <w:r>
        <w:rPr>
          <w:rFonts w:hint="eastAsia" w:asciiTheme="majorEastAsia" w:hAnsiTheme="majorEastAsia" w:eastAsiaTheme="majorEastAsia"/>
          <w:b/>
          <w:color w:val="FF6600"/>
        </w:rPr>
        <w:t>课程设置：</w:t>
      </w:r>
    </w:p>
    <w:tbl>
      <w:tblPr>
        <w:tblStyle w:val="6"/>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4"/>
        <w:gridCol w:w="3803"/>
        <w:gridCol w:w="1417"/>
        <w:gridCol w:w="1985"/>
      </w:tblGrid>
      <w:tr>
        <w:tc>
          <w:tcPr>
            <w:tcW w:w="1834" w:type="dxa"/>
          </w:tcPr>
          <w:p>
            <w:pPr>
              <w:jc w:val="center"/>
              <w:rPr>
                <w:rFonts w:asciiTheme="majorEastAsia" w:hAnsiTheme="majorEastAsia" w:eastAsiaTheme="majorEastAsia"/>
                <w:kern w:val="0"/>
              </w:rPr>
            </w:pPr>
            <w:r>
              <w:rPr>
                <w:rFonts w:hint="eastAsia" w:asciiTheme="majorEastAsia" w:hAnsiTheme="majorEastAsia" w:eastAsiaTheme="majorEastAsia"/>
                <w:kern w:val="0"/>
              </w:rPr>
              <w:t>时间</w:t>
            </w:r>
          </w:p>
        </w:tc>
        <w:tc>
          <w:tcPr>
            <w:tcW w:w="3803" w:type="dxa"/>
          </w:tcPr>
          <w:p>
            <w:pPr>
              <w:jc w:val="center"/>
              <w:rPr>
                <w:rFonts w:asciiTheme="majorEastAsia" w:hAnsiTheme="majorEastAsia" w:eastAsiaTheme="majorEastAsia"/>
                <w:kern w:val="0"/>
              </w:rPr>
            </w:pPr>
            <w:r>
              <w:rPr>
                <w:rFonts w:hint="eastAsia" w:asciiTheme="majorEastAsia" w:hAnsiTheme="majorEastAsia" w:eastAsiaTheme="majorEastAsia"/>
                <w:kern w:val="0"/>
              </w:rPr>
              <w:t>学习内容</w:t>
            </w:r>
          </w:p>
        </w:tc>
        <w:tc>
          <w:tcPr>
            <w:tcW w:w="1417" w:type="dxa"/>
          </w:tcPr>
          <w:p>
            <w:pPr>
              <w:jc w:val="center"/>
              <w:rPr>
                <w:rFonts w:asciiTheme="majorEastAsia" w:hAnsiTheme="majorEastAsia" w:eastAsiaTheme="majorEastAsia"/>
                <w:kern w:val="0"/>
              </w:rPr>
            </w:pPr>
            <w:r>
              <w:rPr>
                <w:rFonts w:hint="eastAsia" w:asciiTheme="majorEastAsia" w:hAnsiTheme="majorEastAsia" w:eastAsiaTheme="majorEastAsia"/>
                <w:kern w:val="0"/>
              </w:rPr>
              <w:t>周课时</w:t>
            </w:r>
          </w:p>
        </w:tc>
        <w:tc>
          <w:tcPr>
            <w:tcW w:w="1985" w:type="dxa"/>
          </w:tcPr>
          <w:p>
            <w:pPr>
              <w:ind w:right="-1342" w:rightChars="-639"/>
              <w:rPr>
                <w:rFonts w:asciiTheme="majorEastAsia" w:hAnsiTheme="majorEastAsia" w:eastAsiaTheme="majorEastAsia"/>
                <w:kern w:val="0"/>
              </w:rPr>
            </w:pPr>
            <w:r>
              <w:rPr>
                <w:rFonts w:hint="eastAsia" w:asciiTheme="majorEastAsia" w:hAnsiTheme="majorEastAsia" w:eastAsiaTheme="majorEastAsia"/>
                <w:kern w:val="0"/>
              </w:rPr>
              <w:t xml:space="preserve">   ECTS学分</w:t>
            </w:r>
          </w:p>
        </w:tc>
      </w:tr>
      <w:tr>
        <w:tc>
          <w:tcPr>
            <w:tcW w:w="1834" w:type="dxa"/>
          </w:tcPr>
          <w:p>
            <w:pPr>
              <w:jc w:val="center"/>
              <w:rPr>
                <w:rFonts w:hint="default" w:asciiTheme="majorEastAsia" w:hAnsiTheme="majorEastAsia" w:eastAsiaTheme="majorEastAsia"/>
                <w:kern w:val="0"/>
                <w:lang w:val="en-US" w:eastAsia="zh-CN"/>
              </w:rPr>
            </w:pPr>
            <w:r>
              <w:rPr>
                <w:rFonts w:hint="eastAsia" w:asciiTheme="majorEastAsia" w:hAnsiTheme="majorEastAsia" w:eastAsiaTheme="majorEastAsia"/>
                <w:kern w:val="0"/>
                <w:lang w:val="en-US" w:eastAsia="zh-CN"/>
              </w:rPr>
              <w:t>2027年3月-7月</w:t>
            </w:r>
          </w:p>
        </w:tc>
        <w:tc>
          <w:tcPr>
            <w:tcW w:w="3803" w:type="dxa"/>
          </w:tcPr>
          <w:p>
            <w:pPr>
              <w:jc w:val="center"/>
              <w:rPr>
                <w:rFonts w:hint="default" w:asciiTheme="majorEastAsia" w:hAnsiTheme="majorEastAsia" w:eastAsiaTheme="majorEastAsia"/>
                <w:kern w:val="0"/>
                <w:lang w:val="en-US" w:eastAsia="zh-CN"/>
              </w:rPr>
            </w:pPr>
            <w:r>
              <w:rPr>
                <w:rFonts w:hint="eastAsia" w:asciiTheme="majorEastAsia" w:hAnsiTheme="majorEastAsia" w:eastAsiaTheme="majorEastAsia"/>
                <w:kern w:val="0"/>
                <w:lang w:val="en-US" w:eastAsia="zh-CN"/>
              </w:rPr>
              <w:t>前置课程-西班牙语课程（国内线上）</w:t>
            </w:r>
          </w:p>
        </w:tc>
        <w:tc>
          <w:tcPr>
            <w:tcW w:w="1417" w:type="dxa"/>
          </w:tcPr>
          <w:p>
            <w:pPr>
              <w:jc w:val="center"/>
              <w:rPr>
                <w:rFonts w:hint="eastAsia" w:asciiTheme="majorEastAsia" w:hAnsiTheme="majorEastAsia" w:eastAsiaTheme="majorEastAsia"/>
                <w:kern w:val="0"/>
                <w:lang w:val="en-US" w:eastAsia="zh-CN"/>
              </w:rPr>
            </w:pPr>
            <w:r>
              <w:rPr>
                <w:rFonts w:hint="eastAsia" w:asciiTheme="majorEastAsia" w:hAnsiTheme="majorEastAsia" w:eastAsiaTheme="majorEastAsia"/>
                <w:kern w:val="0"/>
              </w:rPr>
              <w:t>/</w:t>
            </w:r>
          </w:p>
        </w:tc>
        <w:tc>
          <w:tcPr>
            <w:tcW w:w="1985" w:type="dxa"/>
          </w:tcPr>
          <w:p>
            <w:pPr>
              <w:ind w:right="-1342" w:rightChars="-639"/>
              <w:rPr>
                <w:rFonts w:hint="eastAsia" w:asciiTheme="majorEastAsia" w:hAnsiTheme="majorEastAsia" w:eastAsiaTheme="majorEastAsia"/>
                <w:kern w:val="0"/>
                <w:lang w:val="en-US" w:eastAsia="zh-CN"/>
              </w:rPr>
            </w:pPr>
            <w:r>
              <w:rPr>
                <w:rFonts w:hint="eastAsia" w:asciiTheme="majorEastAsia" w:hAnsiTheme="majorEastAsia" w:eastAsiaTheme="majorEastAsia"/>
                <w:kern w:val="0"/>
                <w:lang w:val="en-US" w:eastAsia="zh-CN"/>
              </w:rPr>
              <w:t>为桥梁课程学习</w:t>
            </w:r>
          </w:p>
          <w:p>
            <w:pPr>
              <w:ind w:right="-1342" w:rightChars="-639"/>
              <w:rPr>
                <w:rFonts w:hint="eastAsia" w:asciiTheme="majorEastAsia" w:hAnsiTheme="majorEastAsia" w:eastAsiaTheme="majorEastAsia"/>
                <w:kern w:val="0"/>
                <w:lang w:val="en-US" w:eastAsia="zh-CN"/>
              </w:rPr>
            </w:pPr>
            <w:r>
              <w:rPr>
                <w:rFonts w:hint="eastAsia" w:asciiTheme="majorEastAsia" w:hAnsiTheme="majorEastAsia" w:eastAsiaTheme="majorEastAsia"/>
                <w:kern w:val="0"/>
                <w:lang w:val="en-US" w:eastAsia="zh-CN"/>
              </w:rPr>
              <w:t>奠定基础，满足</w:t>
            </w:r>
          </w:p>
          <w:p>
            <w:pPr>
              <w:ind w:right="-1342" w:rightChars="-639"/>
              <w:rPr>
                <w:rFonts w:hint="default" w:asciiTheme="majorEastAsia" w:hAnsiTheme="majorEastAsia" w:eastAsiaTheme="majorEastAsia"/>
                <w:kern w:val="0"/>
                <w:lang w:val="en-US" w:eastAsia="zh-CN"/>
              </w:rPr>
            </w:pPr>
            <w:r>
              <w:rPr>
                <w:rFonts w:hint="eastAsia" w:asciiTheme="majorEastAsia" w:hAnsiTheme="majorEastAsia" w:eastAsiaTheme="majorEastAsia"/>
                <w:kern w:val="0"/>
                <w:lang w:val="en-US" w:eastAsia="zh-CN"/>
              </w:rPr>
              <w:t>领事馆签证要求</w:t>
            </w:r>
          </w:p>
          <w:p>
            <w:pPr>
              <w:ind w:right="-1342" w:rightChars="-639"/>
              <w:rPr>
                <w:rFonts w:hint="default" w:asciiTheme="majorEastAsia" w:hAnsiTheme="majorEastAsia" w:eastAsiaTheme="majorEastAsia"/>
                <w:kern w:val="0"/>
                <w:lang w:val="en-US" w:eastAsia="zh-CN"/>
              </w:rPr>
            </w:pPr>
          </w:p>
        </w:tc>
      </w:tr>
      <w:tr>
        <w:tc>
          <w:tcPr>
            <w:tcW w:w="1834" w:type="dxa"/>
          </w:tcPr>
          <w:p>
            <w:pPr>
              <w:rPr>
                <w:rFonts w:hint="default" w:asciiTheme="majorEastAsia" w:hAnsiTheme="majorEastAsia" w:eastAsiaTheme="majorEastAsia"/>
                <w:kern w:val="0"/>
                <w:lang w:val="en-US" w:eastAsia="zh-CN"/>
              </w:rPr>
            </w:pPr>
            <w:r>
              <w:rPr>
                <w:rFonts w:hint="eastAsia" w:asciiTheme="majorEastAsia" w:hAnsiTheme="majorEastAsia" w:eastAsiaTheme="majorEastAsia"/>
                <w:kern w:val="0"/>
              </w:rPr>
              <w:t>202</w:t>
            </w:r>
            <w:r>
              <w:rPr>
                <w:rFonts w:hint="eastAsia" w:asciiTheme="majorEastAsia" w:hAnsiTheme="majorEastAsia" w:eastAsiaTheme="majorEastAsia"/>
                <w:kern w:val="0"/>
                <w:lang w:val="en-US" w:eastAsia="zh-CN"/>
              </w:rPr>
              <w:t>7</w:t>
            </w:r>
            <w:r>
              <w:rPr>
                <w:rFonts w:hint="eastAsia" w:asciiTheme="majorEastAsia" w:hAnsiTheme="majorEastAsia" w:eastAsiaTheme="majorEastAsia"/>
                <w:kern w:val="0"/>
              </w:rPr>
              <w:t>年9月</w:t>
            </w:r>
            <w:r>
              <w:rPr>
                <w:rFonts w:hint="eastAsia" w:asciiTheme="majorEastAsia" w:hAnsiTheme="majorEastAsia" w:eastAsiaTheme="majorEastAsia"/>
                <w:kern w:val="0"/>
                <w:lang w:val="en-US" w:eastAsia="zh-CN"/>
              </w:rPr>
              <w:t>前两周</w:t>
            </w:r>
          </w:p>
        </w:tc>
        <w:tc>
          <w:tcPr>
            <w:tcW w:w="3803" w:type="dxa"/>
          </w:tcPr>
          <w:p>
            <w:pPr>
              <w:rPr>
                <w:rFonts w:asciiTheme="majorEastAsia" w:hAnsiTheme="majorEastAsia" w:eastAsiaTheme="majorEastAsia"/>
                <w:kern w:val="0"/>
              </w:rPr>
            </w:pPr>
            <w:r>
              <w:rPr>
                <w:rFonts w:hint="eastAsia" w:asciiTheme="majorEastAsia" w:hAnsiTheme="majorEastAsia" w:eastAsiaTheme="majorEastAsia"/>
                <w:kern w:val="0"/>
              </w:rPr>
              <w:t>西班牙语语言文化课程</w:t>
            </w:r>
          </w:p>
        </w:tc>
        <w:tc>
          <w:tcPr>
            <w:tcW w:w="1417" w:type="dxa"/>
          </w:tcPr>
          <w:p>
            <w:pPr>
              <w:rPr>
                <w:rFonts w:asciiTheme="majorEastAsia" w:hAnsiTheme="majorEastAsia" w:eastAsiaTheme="majorEastAsia"/>
                <w:kern w:val="0"/>
              </w:rPr>
            </w:pPr>
            <w:r>
              <w:rPr>
                <w:rFonts w:hint="eastAsia" w:asciiTheme="majorEastAsia" w:hAnsiTheme="majorEastAsia" w:eastAsiaTheme="majorEastAsia"/>
                <w:kern w:val="0"/>
              </w:rPr>
              <w:t>20</w:t>
            </w:r>
          </w:p>
        </w:tc>
        <w:tc>
          <w:tcPr>
            <w:tcW w:w="1985" w:type="dxa"/>
          </w:tcPr>
          <w:p>
            <w:pPr>
              <w:rPr>
                <w:rFonts w:asciiTheme="majorEastAsia" w:hAnsiTheme="majorEastAsia" w:eastAsiaTheme="majorEastAsia"/>
                <w:kern w:val="0"/>
              </w:rPr>
            </w:pPr>
            <w:r>
              <w:rPr>
                <w:rFonts w:hint="eastAsia" w:asciiTheme="majorEastAsia" w:hAnsiTheme="majorEastAsia" w:eastAsiaTheme="majorEastAsia"/>
                <w:kern w:val="0"/>
              </w:rPr>
              <w:t>/</w:t>
            </w:r>
          </w:p>
        </w:tc>
      </w:tr>
      <w:tr>
        <w:tc>
          <w:tcPr>
            <w:tcW w:w="1834" w:type="dxa"/>
          </w:tcPr>
          <w:p>
            <w:pPr>
              <w:rPr>
                <w:rFonts w:asciiTheme="majorEastAsia" w:hAnsiTheme="majorEastAsia" w:eastAsiaTheme="majorEastAsia"/>
                <w:kern w:val="0"/>
              </w:rPr>
            </w:pPr>
            <w:r>
              <w:rPr>
                <w:rFonts w:hint="eastAsia" w:asciiTheme="majorEastAsia" w:hAnsiTheme="majorEastAsia" w:eastAsiaTheme="majorEastAsia"/>
                <w:kern w:val="0"/>
              </w:rPr>
              <w:t>202</w:t>
            </w:r>
            <w:r>
              <w:rPr>
                <w:rFonts w:hint="eastAsia" w:asciiTheme="majorEastAsia" w:hAnsiTheme="majorEastAsia" w:eastAsiaTheme="majorEastAsia"/>
                <w:kern w:val="0"/>
                <w:lang w:val="en-US" w:eastAsia="zh-CN"/>
              </w:rPr>
              <w:t>7</w:t>
            </w:r>
            <w:r>
              <w:rPr>
                <w:rFonts w:hint="eastAsia" w:asciiTheme="majorEastAsia" w:hAnsiTheme="majorEastAsia" w:eastAsiaTheme="majorEastAsia"/>
                <w:kern w:val="0"/>
              </w:rPr>
              <w:t>年</w:t>
            </w:r>
            <w:r>
              <w:rPr>
                <w:rFonts w:hint="eastAsia" w:asciiTheme="majorEastAsia" w:hAnsiTheme="majorEastAsia" w:eastAsiaTheme="majorEastAsia"/>
                <w:kern w:val="0"/>
                <w:lang w:val="en-US" w:eastAsia="zh-CN"/>
              </w:rPr>
              <w:t>9月</w:t>
            </w:r>
            <w:r>
              <w:rPr>
                <w:rFonts w:hint="eastAsia" w:asciiTheme="majorEastAsia" w:hAnsiTheme="majorEastAsia" w:eastAsiaTheme="majorEastAsia"/>
                <w:kern w:val="0"/>
              </w:rPr>
              <w:t>-12月</w:t>
            </w:r>
            <w:r>
              <w:rPr>
                <w:rFonts w:hint="default" w:asciiTheme="majorEastAsia" w:hAnsiTheme="majorEastAsia" w:eastAsiaTheme="majorEastAsia"/>
                <w:kern w:val="0"/>
                <w:lang w:val="es-ES"/>
              </w:rPr>
              <w:t>19</w:t>
            </w:r>
            <w:r>
              <w:rPr>
                <w:rFonts w:hint="eastAsia" w:asciiTheme="majorEastAsia" w:hAnsiTheme="majorEastAsia" w:eastAsiaTheme="majorEastAsia"/>
                <w:kern w:val="0"/>
              </w:rPr>
              <w:t>日</w:t>
            </w:r>
          </w:p>
        </w:tc>
        <w:tc>
          <w:tcPr>
            <w:tcW w:w="3803" w:type="dxa"/>
          </w:tcPr>
          <w:p>
            <w:pPr>
              <w:rPr>
                <w:rFonts w:asciiTheme="majorEastAsia" w:hAnsiTheme="majorEastAsia" w:eastAsiaTheme="majorEastAsia"/>
                <w:kern w:val="0"/>
              </w:rPr>
            </w:pPr>
            <w:r>
              <w:rPr>
                <w:rFonts w:hint="eastAsia" w:asciiTheme="majorEastAsia" w:hAnsiTheme="majorEastAsia" w:eastAsiaTheme="majorEastAsia"/>
                <w:kern w:val="0"/>
              </w:rPr>
              <w:t>学生可选6门课程：</w:t>
            </w:r>
          </w:p>
          <w:p>
            <w:pPr>
              <w:rPr>
                <w:rFonts w:asciiTheme="majorEastAsia" w:hAnsiTheme="majorEastAsia" w:eastAsiaTheme="majorEastAsia"/>
                <w:kern w:val="0"/>
              </w:rPr>
            </w:pPr>
            <w:r>
              <w:rPr>
                <w:rFonts w:hint="eastAsia" w:asciiTheme="majorEastAsia" w:hAnsiTheme="majorEastAsia" w:eastAsiaTheme="majorEastAsia"/>
                <w:kern w:val="0"/>
              </w:rPr>
              <w:t>西班牙语相关：语言、文化、历史、商务等</w:t>
            </w:r>
          </w:p>
          <w:p>
            <w:pPr>
              <w:rPr>
                <w:rFonts w:asciiTheme="majorEastAsia" w:hAnsiTheme="majorEastAsia" w:eastAsiaTheme="majorEastAsia"/>
                <w:kern w:val="0"/>
              </w:rPr>
            </w:pPr>
            <w:r>
              <w:rPr>
                <w:rFonts w:hint="eastAsia" w:asciiTheme="majorEastAsia" w:hAnsiTheme="majorEastAsia" w:eastAsiaTheme="majorEastAsia"/>
                <w:kern w:val="0"/>
              </w:rPr>
              <w:t>英语课程（根据须兑换的专业课程）</w:t>
            </w:r>
          </w:p>
        </w:tc>
        <w:tc>
          <w:tcPr>
            <w:tcW w:w="1417" w:type="dxa"/>
          </w:tcPr>
          <w:p>
            <w:pPr>
              <w:rPr>
                <w:rFonts w:asciiTheme="majorEastAsia" w:hAnsiTheme="majorEastAsia" w:eastAsiaTheme="majorEastAsia"/>
                <w:kern w:val="0"/>
              </w:rPr>
            </w:pPr>
            <w:r>
              <w:rPr>
                <w:rFonts w:hint="eastAsia" w:asciiTheme="majorEastAsia" w:hAnsiTheme="majorEastAsia" w:eastAsiaTheme="majorEastAsia"/>
                <w:kern w:val="0"/>
              </w:rPr>
              <w:t>20</w:t>
            </w:r>
          </w:p>
        </w:tc>
        <w:tc>
          <w:tcPr>
            <w:tcW w:w="1985" w:type="dxa"/>
          </w:tcPr>
          <w:p>
            <w:pPr>
              <w:rPr>
                <w:rFonts w:asciiTheme="majorEastAsia" w:hAnsiTheme="majorEastAsia" w:eastAsiaTheme="majorEastAsia"/>
                <w:kern w:val="0"/>
              </w:rPr>
            </w:pPr>
            <w:r>
              <w:rPr>
                <w:rFonts w:hint="eastAsia" w:asciiTheme="majorEastAsia" w:hAnsiTheme="majorEastAsia" w:eastAsiaTheme="majorEastAsia"/>
                <w:kern w:val="0"/>
              </w:rPr>
              <w:t>36</w:t>
            </w:r>
          </w:p>
        </w:tc>
      </w:tr>
      <w:tr>
        <w:tc>
          <w:tcPr>
            <w:tcW w:w="1834" w:type="dxa"/>
          </w:tcPr>
          <w:p>
            <w:pPr>
              <w:rPr>
                <w:rFonts w:asciiTheme="majorEastAsia" w:hAnsiTheme="majorEastAsia" w:eastAsiaTheme="majorEastAsia"/>
                <w:kern w:val="0"/>
              </w:rPr>
            </w:pPr>
            <w:r>
              <w:rPr>
                <w:rFonts w:hint="eastAsia" w:asciiTheme="majorEastAsia" w:hAnsiTheme="majorEastAsia" w:eastAsiaTheme="majorEastAsia"/>
                <w:kern w:val="0"/>
              </w:rPr>
              <w:t>202</w:t>
            </w:r>
            <w:r>
              <w:rPr>
                <w:rFonts w:hint="eastAsia" w:asciiTheme="majorEastAsia" w:hAnsiTheme="majorEastAsia" w:eastAsiaTheme="majorEastAsia"/>
                <w:kern w:val="0"/>
                <w:lang w:val="en-US" w:eastAsia="zh-CN"/>
              </w:rPr>
              <w:t>8</w:t>
            </w:r>
            <w:r>
              <w:rPr>
                <w:rFonts w:hint="eastAsia" w:asciiTheme="majorEastAsia" w:hAnsiTheme="majorEastAsia" w:eastAsiaTheme="majorEastAsia"/>
                <w:kern w:val="0"/>
              </w:rPr>
              <w:t>年1月8日-</w:t>
            </w:r>
            <w:r>
              <w:rPr>
                <w:rFonts w:hint="default" w:asciiTheme="majorEastAsia" w:hAnsiTheme="majorEastAsia" w:eastAsiaTheme="majorEastAsia"/>
                <w:kern w:val="0"/>
                <w:lang w:val="es-ES"/>
              </w:rPr>
              <w:t>2</w:t>
            </w:r>
            <w:r>
              <w:rPr>
                <w:rFonts w:hint="eastAsia" w:asciiTheme="majorEastAsia" w:hAnsiTheme="majorEastAsia" w:eastAsiaTheme="majorEastAsia"/>
                <w:kern w:val="0"/>
              </w:rPr>
              <w:t>月</w:t>
            </w:r>
            <w:r>
              <w:rPr>
                <w:rFonts w:hint="default" w:asciiTheme="majorEastAsia" w:hAnsiTheme="majorEastAsia" w:eastAsiaTheme="majorEastAsia"/>
                <w:kern w:val="0"/>
                <w:lang w:val="es-ES"/>
              </w:rPr>
              <w:t>4</w:t>
            </w:r>
            <w:r>
              <w:rPr>
                <w:rFonts w:hint="eastAsia" w:asciiTheme="majorEastAsia" w:hAnsiTheme="majorEastAsia" w:eastAsiaTheme="majorEastAsia"/>
                <w:kern w:val="0"/>
              </w:rPr>
              <w:t>日</w:t>
            </w:r>
          </w:p>
        </w:tc>
        <w:tc>
          <w:tcPr>
            <w:tcW w:w="3803" w:type="dxa"/>
          </w:tcPr>
          <w:p>
            <w:pPr>
              <w:rPr>
                <w:rFonts w:asciiTheme="majorEastAsia" w:hAnsiTheme="majorEastAsia" w:eastAsiaTheme="majorEastAsia"/>
                <w:kern w:val="0"/>
              </w:rPr>
            </w:pPr>
            <w:r>
              <w:rPr>
                <w:rFonts w:hint="eastAsia" w:asciiTheme="majorEastAsia" w:hAnsiTheme="majorEastAsia" w:eastAsiaTheme="majorEastAsia"/>
                <w:kern w:val="0"/>
              </w:rPr>
              <w:t>西班牙语语言文化强化课程</w:t>
            </w:r>
          </w:p>
        </w:tc>
        <w:tc>
          <w:tcPr>
            <w:tcW w:w="1417" w:type="dxa"/>
          </w:tcPr>
          <w:p>
            <w:pPr>
              <w:rPr>
                <w:rFonts w:asciiTheme="majorEastAsia" w:hAnsiTheme="majorEastAsia" w:eastAsiaTheme="majorEastAsia"/>
                <w:kern w:val="0"/>
              </w:rPr>
            </w:pPr>
            <w:r>
              <w:rPr>
                <w:rFonts w:hint="eastAsia" w:asciiTheme="majorEastAsia" w:hAnsiTheme="majorEastAsia" w:eastAsiaTheme="majorEastAsia"/>
                <w:kern w:val="0"/>
              </w:rPr>
              <w:t>20</w:t>
            </w:r>
          </w:p>
        </w:tc>
        <w:tc>
          <w:tcPr>
            <w:tcW w:w="1985" w:type="dxa"/>
          </w:tcPr>
          <w:p>
            <w:pPr>
              <w:rPr>
                <w:rFonts w:asciiTheme="majorEastAsia" w:hAnsiTheme="majorEastAsia" w:eastAsiaTheme="majorEastAsia"/>
                <w:kern w:val="0"/>
              </w:rPr>
            </w:pPr>
            <w:r>
              <w:rPr>
                <w:rFonts w:hint="eastAsia" w:asciiTheme="majorEastAsia" w:hAnsiTheme="majorEastAsia" w:eastAsiaTheme="majorEastAsia"/>
                <w:kern w:val="0"/>
              </w:rPr>
              <w:t>/</w:t>
            </w:r>
          </w:p>
        </w:tc>
      </w:tr>
      <w:tr>
        <w:tc>
          <w:tcPr>
            <w:tcW w:w="1834" w:type="dxa"/>
          </w:tcPr>
          <w:p>
            <w:pPr>
              <w:rPr>
                <w:rFonts w:asciiTheme="majorEastAsia" w:hAnsiTheme="majorEastAsia" w:eastAsiaTheme="majorEastAsia"/>
                <w:kern w:val="0"/>
              </w:rPr>
            </w:pPr>
            <w:r>
              <w:rPr>
                <w:rFonts w:hint="eastAsia" w:asciiTheme="majorEastAsia" w:hAnsiTheme="majorEastAsia" w:eastAsiaTheme="majorEastAsia"/>
                <w:kern w:val="0"/>
              </w:rPr>
              <w:t>202</w:t>
            </w:r>
            <w:r>
              <w:rPr>
                <w:rFonts w:hint="eastAsia" w:asciiTheme="majorEastAsia" w:hAnsiTheme="majorEastAsia" w:eastAsiaTheme="majorEastAsia"/>
                <w:kern w:val="0"/>
                <w:lang w:val="en-US" w:eastAsia="zh-CN"/>
              </w:rPr>
              <w:t>8</w:t>
            </w:r>
            <w:r>
              <w:rPr>
                <w:rFonts w:hint="eastAsia" w:asciiTheme="majorEastAsia" w:hAnsiTheme="majorEastAsia" w:eastAsiaTheme="majorEastAsia"/>
                <w:kern w:val="0"/>
              </w:rPr>
              <w:t>年2月5日-5月2</w:t>
            </w:r>
            <w:r>
              <w:rPr>
                <w:rFonts w:hint="default" w:asciiTheme="majorEastAsia" w:hAnsiTheme="majorEastAsia" w:eastAsiaTheme="majorEastAsia"/>
                <w:kern w:val="0"/>
                <w:lang w:val="es-ES"/>
              </w:rPr>
              <w:t>2</w:t>
            </w:r>
            <w:r>
              <w:rPr>
                <w:rFonts w:hint="eastAsia" w:asciiTheme="majorEastAsia" w:hAnsiTheme="majorEastAsia" w:eastAsiaTheme="majorEastAsia"/>
                <w:kern w:val="0"/>
              </w:rPr>
              <w:t>日</w:t>
            </w:r>
          </w:p>
        </w:tc>
        <w:tc>
          <w:tcPr>
            <w:tcW w:w="3803" w:type="dxa"/>
          </w:tcPr>
          <w:p>
            <w:pPr>
              <w:rPr>
                <w:rFonts w:asciiTheme="majorEastAsia" w:hAnsiTheme="majorEastAsia" w:eastAsiaTheme="majorEastAsia"/>
                <w:kern w:val="0"/>
              </w:rPr>
            </w:pPr>
            <w:r>
              <w:rPr>
                <w:rFonts w:hint="eastAsia" w:asciiTheme="majorEastAsia" w:hAnsiTheme="majorEastAsia" w:eastAsiaTheme="majorEastAsia"/>
                <w:kern w:val="0"/>
              </w:rPr>
              <w:t>学生可选6门课程：</w:t>
            </w:r>
          </w:p>
          <w:p>
            <w:pPr>
              <w:rPr>
                <w:rFonts w:asciiTheme="majorEastAsia" w:hAnsiTheme="majorEastAsia" w:eastAsiaTheme="majorEastAsia"/>
                <w:kern w:val="0"/>
              </w:rPr>
            </w:pPr>
            <w:r>
              <w:rPr>
                <w:rFonts w:hint="eastAsia" w:asciiTheme="majorEastAsia" w:hAnsiTheme="majorEastAsia" w:eastAsiaTheme="majorEastAsia"/>
                <w:kern w:val="0"/>
              </w:rPr>
              <w:t>西班牙语相关：语言、文化、历史、文学、商务等</w:t>
            </w:r>
          </w:p>
          <w:p>
            <w:pPr>
              <w:rPr>
                <w:rFonts w:asciiTheme="majorEastAsia" w:hAnsiTheme="majorEastAsia" w:eastAsiaTheme="majorEastAsia"/>
                <w:kern w:val="0"/>
              </w:rPr>
            </w:pPr>
            <w:r>
              <w:rPr>
                <w:rFonts w:hint="eastAsia" w:asciiTheme="majorEastAsia" w:hAnsiTheme="majorEastAsia" w:eastAsiaTheme="majorEastAsia"/>
                <w:kern w:val="0"/>
              </w:rPr>
              <w:t>英语课程（根据须兑换的专业课程）</w:t>
            </w:r>
          </w:p>
        </w:tc>
        <w:tc>
          <w:tcPr>
            <w:tcW w:w="1417" w:type="dxa"/>
          </w:tcPr>
          <w:p>
            <w:pPr>
              <w:rPr>
                <w:rFonts w:asciiTheme="majorEastAsia" w:hAnsiTheme="majorEastAsia" w:eastAsiaTheme="majorEastAsia"/>
                <w:kern w:val="0"/>
              </w:rPr>
            </w:pPr>
            <w:r>
              <w:rPr>
                <w:rFonts w:hint="eastAsia" w:asciiTheme="majorEastAsia" w:hAnsiTheme="majorEastAsia" w:eastAsiaTheme="majorEastAsia"/>
                <w:kern w:val="0"/>
              </w:rPr>
              <w:t>20</w:t>
            </w:r>
          </w:p>
        </w:tc>
        <w:tc>
          <w:tcPr>
            <w:tcW w:w="1985" w:type="dxa"/>
          </w:tcPr>
          <w:p>
            <w:pPr>
              <w:rPr>
                <w:rFonts w:asciiTheme="majorEastAsia" w:hAnsiTheme="majorEastAsia" w:eastAsiaTheme="majorEastAsia"/>
                <w:kern w:val="0"/>
              </w:rPr>
            </w:pPr>
            <w:r>
              <w:rPr>
                <w:rFonts w:hint="eastAsia" w:asciiTheme="majorEastAsia" w:hAnsiTheme="majorEastAsia" w:eastAsiaTheme="majorEastAsia"/>
                <w:kern w:val="0"/>
              </w:rPr>
              <w:t>36</w:t>
            </w:r>
          </w:p>
        </w:tc>
      </w:tr>
    </w:tbl>
    <w:p>
      <w:pPr>
        <w:rPr>
          <w:rFonts w:hint="eastAsia" w:ascii="宋体" w:hAnsi="宋体" w:eastAsia="宋体" w:cs="宋体"/>
          <w:sz w:val="18"/>
          <w:szCs w:val="18"/>
          <w:lang w:val="en-US" w:eastAsia="zh-CN"/>
        </w:rPr>
      </w:pPr>
      <w:r>
        <w:rPr>
          <w:rFonts w:hint="eastAsia" w:ascii="宋体" w:hAnsi="宋体" w:eastAsia="宋体" w:cs="宋体"/>
          <w:sz w:val="18"/>
          <w:szCs w:val="18"/>
          <w:lang w:val="en-US"/>
        </w:rPr>
        <w:t>*</w:t>
      </w:r>
      <w:r>
        <w:rPr>
          <w:rFonts w:hint="eastAsia" w:ascii="宋体" w:hAnsi="宋体" w:eastAsia="宋体" w:cs="宋体"/>
          <w:sz w:val="18"/>
          <w:szCs w:val="18"/>
          <w:lang w:val="en-US" w:eastAsia="zh-CN"/>
        </w:rPr>
        <w:t>课程时间和课程名称如有调整，以学校最后公布为准</w:t>
      </w:r>
    </w:p>
    <w:p>
      <w:pPr>
        <w:rPr>
          <w:rFonts w:asciiTheme="minorEastAsia" w:hAnsiTheme="minorEastAsia" w:eastAsiaTheme="minorEastAsia"/>
          <w:b/>
          <w:color w:val="FF6600"/>
        </w:rPr>
      </w:pPr>
      <w:r>
        <w:rPr>
          <w:rFonts w:hint="eastAsia" w:asciiTheme="minorEastAsia" w:hAnsiTheme="minorEastAsia" w:eastAsiaTheme="minorEastAsia"/>
          <w:b/>
          <w:color w:val="FF6600"/>
        </w:rPr>
        <w:t>项目内容：</w:t>
      </w:r>
    </w:p>
    <w:p>
      <w:pPr>
        <w:rPr>
          <w:rFonts w:asciiTheme="minorEastAsia" w:hAnsiTheme="minorEastAsia" w:eastAsiaTheme="minorEastAsia"/>
        </w:rPr>
      </w:pPr>
      <w:r>
        <w:rPr>
          <w:rFonts w:hint="eastAsia" w:asciiTheme="minorEastAsia" w:hAnsiTheme="minorEastAsia" w:eastAsiaTheme="minorEastAsia"/>
        </w:rPr>
        <w:t>1）选课内容：在学生进入</w:t>
      </w:r>
      <w:r>
        <w:rPr>
          <w:rFonts w:hint="eastAsia" w:asciiTheme="minorEastAsia" w:hAnsiTheme="minorEastAsia" w:eastAsiaTheme="minorEastAsia"/>
          <w:lang w:val="en-US" w:eastAsia="zh-CN"/>
        </w:rPr>
        <w:t>桥梁课程</w:t>
      </w:r>
      <w:r>
        <w:rPr>
          <w:rFonts w:hint="eastAsia" w:asciiTheme="minorEastAsia" w:hAnsiTheme="minorEastAsia" w:eastAsiaTheme="minorEastAsia"/>
        </w:rPr>
        <w:t>前会预先对学生兑换学分课程进行预审，获得兑换学分通过后，学生方可进入</w:t>
      </w:r>
      <w:r>
        <w:rPr>
          <w:rFonts w:hint="eastAsia" w:asciiTheme="minorEastAsia" w:hAnsiTheme="minorEastAsia" w:eastAsiaTheme="minorEastAsia"/>
          <w:lang w:val="en-US" w:eastAsia="zh-CN"/>
        </w:rPr>
        <w:t>桥梁课程</w:t>
      </w:r>
      <w:r>
        <w:rPr>
          <w:rFonts w:hint="eastAsia" w:asciiTheme="minorEastAsia" w:hAnsiTheme="minorEastAsia" w:eastAsiaTheme="minorEastAsia"/>
        </w:rPr>
        <w:t>。</w:t>
      </w:r>
    </w:p>
    <w:p>
      <w:pPr>
        <w:rPr>
          <w:rFonts w:asciiTheme="minorEastAsia" w:hAnsiTheme="minorEastAsia" w:eastAsiaTheme="minorEastAsia"/>
        </w:rPr>
      </w:pPr>
      <w:r>
        <w:rPr>
          <w:rFonts w:hint="eastAsia" w:asciiTheme="minorEastAsia" w:hAnsiTheme="minorEastAsia" w:eastAsiaTheme="minorEastAsia"/>
        </w:rPr>
        <w:t>2）面试培训：学生在达到相应西班牙语级别后，可申请意向申请硕士面试培训，以帮助学生更好地准备面试申请。面试培训另行收费，详见下表。</w:t>
      </w:r>
    </w:p>
    <w:p>
      <w:pPr>
        <w:rPr>
          <w:rFonts w:asciiTheme="minorEastAsia" w:hAnsiTheme="minorEastAsia" w:eastAsiaTheme="minorEastAsia"/>
        </w:rPr>
      </w:pPr>
      <w:r>
        <w:rPr>
          <w:rFonts w:hint="eastAsia" w:asciiTheme="minorEastAsia" w:hAnsiTheme="minorEastAsia" w:eastAsiaTheme="minorEastAsia"/>
        </w:rPr>
        <w:t xml:space="preserve"> 3）硕士奖学金：学生在完成桥梁课程并获得硕士录取后，向学生提供硕士学费10%-15%的奖学金</w:t>
      </w:r>
    </w:p>
    <w:p>
      <w:pPr>
        <w:rPr>
          <w:rFonts w:asciiTheme="minorEastAsia" w:hAnsiTheme="minorEastAsia" w:eastAsiaTheme="minorEastAsia"/>
        </w:rPr>
      </w:pPr>
      <w:r>
        <w:rPr>
          <w:rFonts w:hint="eastAsia" w:asciiTheme="minorEastAsia" w:hAnsiTheme="minorEastAsia" w:eastAsiaTheme="minorEastAsia"/>
        </w:rPr>
        <w:t xml:space="preserve"> 4）文化参观活动：学校向学生提供各种类型的文化参观活动，由学校老师进行陪同并进行文化和历史讲解，包含西班牙重要的历史文化遗迹，比如：马德里、托莱多、塞哥维亚、萨拉曼卡等。学生可根据自身情况在学校报名。</w:t>
      </w:r>
    </w:p>
    <w:p>
      <w:pPr>
        <w:rPr>
          <w:rFonts w:asciiTheme="minorEastAsia" w:hAnsiTheme="minorEastAsia" w:eastAsiaTheme="minorEastAsia"/>
        </w:rPr>
      </w:pPr>
      <w:r>
        <w:rPr>
          <w:rFonts w:hint="eastAsia" w:asciiTheme="minorEastAsia" w:hAnsiTheme="minorEastAsia" w:eastAsiaTheme="minorEastAsia"/>
        </w:rPr>
        <w:t xml:space="preserve"> 5）实践性活动：学生在校学习期间可以参观内布里哈大学总部、内布里哈大学商学院以及参加其他机构举行的会议、讲座或论坛。会议由导师推荐，让学生认识西班牙和国际社会多领域的学者和经理人。</w:t>
      </w:r>
    </w:p>
    <w:p>
      <w:pPr>
        <w:rPr>
          <w:rFonts w:hint="eastAsia" w:asciiTheme="minorEastAsia" w:hAnsiTheme="minorEastAsia" w:eastAsiaTheme="minorEastAsia"/>
        </w:rPr>
      </w:pPr>
      <w:r>
        <w:rPr>
          <w:rFonts w:hint="eastAsia" w:asciiTheme="minorEastAsia" w:hAnsiTheme="minorEastAsia" w:eastAsiaTheme="minorEastAsia"/>
        </w:rPr>
        <w:t xml:space="preserve"> 6）个人辅导：根据学生个人需要提供个性化的辅导，同时由老师向学生提供办理居留卡、银行卡等其他行政手续的指导。</w:t>
      </w:r>
    </w:p>
    <w:p>
      <w:pPr>
        <w:rPr>
          <w:rFonts w:hint="eastAsia" w:asciiTheme="minorEastAsia" w:hAnsiTheme="minorEastAsia" w:eastAsiaTheme="minorEastAsia"/>
        </w:rPr>
      </w:pPr>
    </w:p>
    <w:p>
      <w:pPr>
        <w:rPr>
          <w:rFonts w:asciiTheme="majorEastAsia" w:hAnsiTheme="majorEastAsia" w:eastAsiaTheme="majorEastAsia"/>
          <w:b/>
          <w:color w:val="FF6600"/>
        </w:rPr>
      </w:pPr>
      <w:r>
        <w:rPr>
          <w:rFonts w:hint="eastAsia" w:asciiTheme="majorEastAsia" w:hAnsiTheme="majorEastAsia" w:eastAsiaTheme="majorEastAsia"/>
          <w:b/>
          <w:color w:val="FF6600"/>
        </w:rPr>
        <w:t>费用：</w:t>
      </w:r>
    </w:p>
    <w:p>
      <w:pPr>
        <w:rPr>
          <w:rFonts w:asciiTheme="minorEastAsia" w:hAnsiTheme="minorEastAsia" w:eastAsiaTheme="minorEastAsia"/>
          <w:szCs w:val="21"/>
        </w:rPr>
      </w:pPr>
      <w:r>
        <w:rPr>
          <w:rFonts w:hint="eastAsia" w:asciiTheme="majorEastAsia" w:hAnsiTheme="majorEastAsia" w:eastAsiaTheme="majorEastAsia"/>
        </w:rPr>
        <w:t>学费：</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8"/>
        <w:gridCol w:w="2839"/>
        <w:gridCol w:w="2839"/>
      </w:tblGrid>
      <w:tr>
        <w:tc>
          <w:tcPr>
            <w:tcW w:w="2838" w:type="dxa"/>
          </w:tcPr>
          <w:p>
            <w:pPr>
              <w:rPr>
                <w:rFonts w:asciiTheme="majorEastAsia" w:hAnsiTheme="majorEastAsia" w:eastAsiaTheme="majorEastAsia"/>
                <w:kern w:val="0"/>
              </w:rPr>
            </w:pPr>
            <w:r>
              <w:rPr>
                <w:rFonts w:hint="eastAsia" w:asciiTheme="majorEastAsia" w:hAnsiTheme="majorEastAsia" w:eastAsiaTheme="majorEastAsia"/>
                <w:kern w:val="0"/>
              </w:rPr>
              <w:t>一学年学费：</w:t>
            </w:r>
          </w:p>
        </w:tc>
        <w:tc>
          <w:tcPr>
            <w:tcW w:w="2839" w:type="dxa"/>
          </w:tcPr>
          <w:p>
            <w:pPr>
              <w:rPr>
                <w:rFonts w:asciiTheme="majorEastAsia" w:hAnsiTheme="majorEastAsia" w:eastAsiaTheme="majorEastAsia"/>
                <w:kern w:val="0"/>
              </w:rPr>
            </w:pPr>
            <w:r>
              <w:rPr>
                <w:rFonts w:hint="eastAsia" w:asciiTheme="majorEastAsia" w:hAnsiTheme="majorEastAsia" w:eastAsiaTheme="majorEastAsia"/>
                <w:kern w:val="0"/>
                <w:lang w:val="en-US" w:eastAsia="zh-CN"/>
              </w:rPr>
              <w:t>8</w:t>
            </w:r>
            <w:r>
              <w:rPr>
                <w:rFonts w:hint="default" w:asciiTheme="majorEastAsia" w:hAnsiTheme="majorEastAsia" w:eastAsiaTheme="majorEastAsia"/>
                <w:kern w:val="0"/>
                <w:lang w:val="es-ES" w:eastAsia="zh-CN"/>
              </w:rPr>
              <w:t>500</w:t>
            </w:r>
            <w:r>
              <w:rPr>
                <w:rFonts w:hint="eastAsia" w:asciiTheme="majorEastAsia" w:hAnsiTheme="majorEastAsia" w:eastAsiaTheme="majorEastAsia"/>
                <w:kern w:val="0"/>
              </w:rPr>
              <w:t>欧元</w:t>
            </w:r>
          </w:p>
        </w:tc>
        <w:tc>
          <w:tcPr>
            <w:tcW w:w="2839" w:type="dxa"/>
          </w:tcPr>
          <w:p>
            <w:pPr>
              <w:rPr>
                <w:rFonts w:asciiTheme="majorEastAsia" w:hAnsiTheme="majorEastAsia" w:eastAsiaTheme="majorEastAsia"/>
                <w:kern w:val="0"/>
              </w:rPr>
            </w:pPr>
            <w:r>
              <w:rPr>
                <w:rFonts w:hint="eastAsia" w:asciiTheme="majorEastAsia" w:hAnsiTheme="majorEastAsia" w:eastAsiaTheme="majorEastAsia"/>
                <w:kern w:val="0"/>
                <w:lang w:val="en-US" w:eastAsia="zh-CN"/>
              </w:rPr>
              <w:t>协议院校</w:t>
            </w:r>
            <w:r>
              <w:rPr>
                <w:rFonts w:hint="eastAsia" w:asciiTheme="majorEastAsia" w:hAnsiTheme="majorEastAsia" w:eastAsiaTheme="majorEastAsia"/>
                <w:kern w:val="0"/>
              </w:rPr>
              <w:t>学生：</w:t>
            </w:r>
            <w:r>
              <w:rPr>
                <w:rFonts w:hint="default" w:asciiTheme="majorEastAsia" w:hAnsiTheme="majorEastAsia" w:eastAsiaTheme="majorEastAsia"/>
                <w:kern w:val="0"/>
                <w:lang w:val="es-ES"/>
              </w:rPr>
              <w:t>6598</w:t>
            </w:r>
            <w:r>
              <w:rPr>
                <w:rFonts w:hint="eastAsia" w:asciiTheme="majorEastAsia" w:hAnsiTheme="majorEastAsia" w:eastAsiaTheme="majorEastAsia"/>
                <w:kern w:val="0"/>
              </w:rPr>
              <w:t>欧元</w:t>
            </w:r>
          </w:p>
        </w:tc>
      </w:tr>
    </w:tbl>
    <w:p>
      <w:pPr>
        <w:rPr>
          <w:rFonts w:hint="eastAsia" w:asciiTheme="majorEastAsia" w:hAnsiTheme="majorEastAsia" w:eastAsiaTheme="majorEastAsia"/>
        </w:rPr>
      </w:pPr>
    </w:p>
    <w:p>
      <w:pPr>
        <w:rPr>
          <w:rFonts w:asciiTheme="majorEastAsia" w:hAnsiTheme="majorEastAsia" w:eastAsiaTheme="majorEastAsia"/>
        </w:rPr>
      </w:pPr>
      <w:r>
        <w:rPr>
          <w:rFonts w:hint="eastAsia" w:asciiTheme="majorEastAsia" w:hAnsiTheme="majorEastAsia" w:eastAsiaTheme="majorEastAsia"/>
        </w:rPr>
        <w:t>学校提供住宿家庭供学生选择：</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8"/>
        <w:gridCol w:w="4258"/>
      </w:tblGrid>
      <w:tr>
        <w:tc>
          <w:tcPr>
            <w:tcW w:w="4258" w:type="dxa"/>
          </w:tcPr>
          <w:p>
            <w:pPr>
              <w:rPr>
                <w:rFonts w:asciiTheme="majorEastAsia" w:hAnsiTheme="majorEastAsia" w:eastAsiaTheme="majorEastAsia"/>
                <w:kern w:val="0"/>
              </w:rPr>
            </w:pPr>
            <w:r>
              <w:rPr>
                <w:rFonts w:hint="eastAsia" w:asciiTheme="majorEastAsia" w:hAnsiTheme="majorEastAsia" w:eastAsiaTheme="majorEastAsia"/>
                <w:kern w:val="0"/>
              </w:rPr>
              <w:t>半食宿（住宿、早饭和午饭或晚饭）</w:t>
            </w:r>
          </w:p>
        </w:tc>
        <w:tc>
          <w:tcPr>
            <w:tcW w:w="4258" w:type="dxa"/>
          </w:tcPr>
          <w:p>
            <w:pPr>
              <w:rPr>
                <w:rFonts w:asciiTheme="majorEastAsia" w:hAnsiTheme="majorEastAsia" w:eastAsiaTheme="majorEastAsia"/>
                <w:kern w:val="0"/>
              </w:rPr>
            </w:pPr>
            <w:r>
              <w:rPr>
                <w:rFonts w:hint="eastAsia" w:asciiTheme="majorEastAsia" w:hAnsiTheme="majorEastAsia" w:eastAsiaTheme="majorEastAsia"/>
                <w:kern w:val="0"/>
                <w:lang w:val="en-US" w:eastAsia="zh-CN"/>
              </w:rPr>
              <w:t>1</w:t>
            </w:r>
            <w:r>
              <w:rPr>
                <w:rFonts w:hint="default" w:asciiTheme="majorEastAsia" w:hAnsiTheme="majorEastAsia" w:eastAsiaTheme="majorEastAsia"/>
                <w:kern w:val="0"/>
                <w:lang w:val="es-ES" w:eastAsia="zh-CN"/>
              </w:rPr>
              <w:t>3</w:t>
            </w:r>
            <w:r>
              <w:rPr>
                <w:rFonts w:hint="eastAsia" w:asciiTheme="majorEastAsia" w:hAnsiTheme="majorEastAsia" w:eastAsiaTheme="majorEastAsia"/>
                <w:kern w:val="0"/>
                <w:lang w:val="en-US" w:eastAsia="zh-CN"/>
              </w:rPr>
              <w:t>00</w:t>
            </w:r>
            <w:r>
              <w:rPr>
                <w:rFonts w:hint="eastAsia" w:asciiTheme="majorEastAsia" w:hAnsiTheme="majorEastAsia" w:eastAsiaTheme="majorEastAsia"/>
                <w:kern w:val="0"/>
              </w:rPr>
              <w:t>欧元</w:t>
            </w:r>
          </w:p>
        </w:tc>
      </w:tr>
    </w:tbl>
    <w:p>
      <w:pPr>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*费用如有变化，以学校最后公布为准</w:t>
      </w:r>
    </w:p>
    <w:p>
      <w:pPr>
        <w:rPr>
          <w:rFonts w:hint="default" w:asciiTheme="minorEastAsia" w:hAnsiTheme="minorEastAsia" w:eastAsiaTheme="minorEastAsia"/>
          <w:lang w:val="es-ES" w:eastAsia="zh-CN"/>
        </w:rPr>
      </w:pPr>
      <w:bookmarkStart w:id="0" w:name="_GoBack"/>
      <w:bookmarkEnd w:id="0"/>
    </w:p>
    <w:p>
      <w:pPr>
        <w:rPr>
          <w:rFonts w:asciiTheme="minorEastAsia" w:hAnsiTheme="minorEastAsia" w:eastAsiaTheme="minorEastAsia"/>
        </w:rPr>
      </w:pPr>
      <w:r>
        <w:rPr>
          <w:rFonts w:hint="eastAsia" w:asciiTheme="minorEastAsia" w:hAnsiTheme="minorEastAsia" w:eastAsiaTheme="minorEastAsia"/>
        </w:rPr>
        <w:t>其他：</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8"/>
        <w:gridCol w:w="4258"/>
      </w:tblGrid>
      <w:tr>
        <w:tc>
          <w:tcPr>
            <w:tcW w:w="4258" w:type="dxa"/>
          </w:tcPr>
          <w:p>
            <w:pPr>
              <w:rPr>
                <w:rFonts w:asciiTheme="minorEastAsia" w:hAnsiTheme="minorEastAsia" w:eastAsiaTheme="minorEastAsia"/>
                <w:kern w:val="0"/>
              </w:rPr>
            </w:pPr>
            <w:r>
              <w:rPr>
                <w:rFonts w:hint="eastAsia" w:asciiTheme="minorEastAsia" w:hAnsiTheme="minorEastAsia" w:eastAsiaTheme="minorEastAsia"/>
                <w:kern w:val="0"/>
              </w:rPr>
              <w:t>硕士面试指导</w:t>
            </w:r>
          </w:p>
        </w:tc>
        <w:tc>
          <w:tcPr>
            <w:tcW w:w="4258" w:type="dxa"/>
          </w:tcPr>
          <w:p>
            <w:pPr>
              <w:rPr>
                <w:rFonts w:asciiTheme="minorEastAsia" w:hAnsiTheme="minorEastAsia" w:eastAsiaTheme="minorEastAsia"/>
                <w:kern w:val="0"/>
              </w:rPr>
            </w:pPr>
            <w:r>
              <w:rPr>
                <w:rFonts w:hint="eastAsia" w:asciiTheme="minorEastAsia" w:hAnsiTheme="minorEastAsia" w:eastAsiaTheme="minorEastAsia"/>
                <w:kern w:val="0"/>
              </w:rPr>
              <w:t>150欧元</w:t>
            </w:r>
          </w:p>
        </w:tc>
      </w:tr>
      <w:tr>
        <w:tc>
          <w:tcPr>
            <w:tcW w:w="4258" w:type="dxa"/>
          </w:tcPr>
          <w:p>
            <w:pPr>
              <w:rPr>
                <w:rFonts w:asciiTheme="minorEastAsia" w:hAnsiTheme="minorEastAsia" w:eastAsiaTheme="minorEastAsia"/>
                <w:kern w:val="0"/>
              </w:rPr>
            </w:pPr>
            <w:r>
              <w:rPr>
                <w:rFonts w:hint="eastAsia" w:asciiTheme="minorEastAsia" w:hAnsiTheme="minorEastAsia" w:eastAsiaTheme="minorEastAsia"/>
                <w:kern w:val="0"/>
              </w:rPr>
              <w:t>付费活动或外地活动1次</w:t>
            </w:r>
          </w:p>
        </w:tc>
        <w:tc>
          <w:tcPr>
            <w:tcW w:w="4258" w:type="dxa"/>
          </w:tcPr>
          <w:p>
            <w:pPr>
              <w:rPr>
                <w:rFonts w:asciiTheme="minorEastAsia" w:hAnsiTheme="minorEastAsia" w:eastAsiaTheme="minorEastAsia"/>
                <w:kern w:val="0"/>
              </w:rPr>
            </w:pPr>
            <w:r>
              <w:rPr>
                <w:rFonts w:hint="default" w:asciiTheme="minorEastAsia" w:hAnsiTheme="minorEastAsia" w:eastAsiaTheme="minorEastAsia"/>
                <w:kern w:val="0"/>
                <w:lang w:val="es-ES"/>
              </w:rPr>
              <w:t>6</w:t>
            </w:r>
            <w:r>
              <w:rPr>
                <w:rFonts w:hint="eastAsia" w:asciiTheme="minorEastAsia" w:hAnsiTheme="minorEastAsia" w:eastAsiaTheme="minorEastAsia"/>
                <w:kern w:val="0"/>
                <w:lang w:val="en-US" w:eastAsia="zh-CN"/>
              </w:rPr>
              <w:t>8</w:t>
            </w:r>
            <w:r>
              <w:rPr>
                <w:rFonts w:hint="eastAsia" w:asciiTheme="minorEastAsia" w:hAnsiTheme="minorEastAsia" w:eastAsiaTheme="minorEastAsia"/>
                <w:kern w:val="0"/>
              </w:rPr>
              <w:t>欧元</w:t>
            </w:r>
          </w:p>
        </w:tc>
      </w:tr>
    </w:tbl>
    <w:p>
      <w:pPr>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*费用如有变化，以学校最后公布为准</w:t>
      </w:r>
    </w:p>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Heiti SC Light">
    <w:panose1 w:val="02000000000000000000"/>
    <w:charset w:val="50"/>
    <w:family w:val="auto"/>
    <w:pitch w:val="default"/>
    <w:sig w:usb0="8000002F" w:usb1="0800004A" w:usb2="00000000" w:usb3="00000000" w:csb0="203E0000" w:csb1="00000000"/>
  </w:font>
  <w:font w:name="微软雅黑">
    <w:altName w:val="汉仪旗黑"/>
    <w:panose1 w:val="020B0503020204020204"/>
    <w:charset w:val="50"/>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旗黑">
    <w:panose1 w:val="00020600040101010101"/>
    <w:charset w:val="86"/>
    <w:family w:val="auto"/>
    <w:pitch w:val="default"/>
    <w:sig w:usb0="A00002BF" w:usb1="1ACF7CFA" w:usb2="00000016" w:usb3="00000000" w:csb0="0004009F" w:csb1="DFD7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B3457F"/>
    <w:multiLevelType w:val="multilevel"/>
    <w:tmpl w:val="09B3457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115"/>
    <w:rsid w:val="000D25D9"/>
    <w:rsid w:val="0014735F"/>
    <w:rsid w:val="001D502E"/>
    <w:rsid w:val="005E181B"/>
    <w:rsid w:val="00776DE6"/>
    <w:rsid w:val="007953CB"/>
    <w:rsid w:val="00844B2B"/>
    <w:rsid w:val="00863EFD"/>
    <w:rsid w:val="009774A7"/>
    <w:rsid w:val="00A200A5"/>
    <w:rsid w:val="00BF724D"/>
    <w:rsid w:val="00C36115"/>
    <w:rsid w:val="00EC61FF"/>
    <w:rsid w:val="00F62564"/>
    <w:rsid w:val="1BBB0B8C"/>
    <w:rsid w:val="39B5B92D"/>
    <w:rsid w:val="476E0869"/>
    <w:rsid w:val="7BFB88FA"/>
    <w:rsid w:val="E3DDA2CE"/>
    <w:rsid w:val="EF387EB2"/>
    <w:rsid w:val="F3DD74FE"/>
    <w:rsid w:val="FB436098"/>
    <w:rsid w:val="FFF532D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rFonts w:ascii="Heiti SC Light" w:eastAsia="Heiti SC Light"/>
      <w:sz w:val="18"/>
      <w:szCs w:val="18"/>
    </w:rPr>
  </w:style>
  <w:style w:type="paragraph" w:styleId="3">
    <w:name w:val="footer"/>
    <w:basedOn w:val="1"/>
    <w:link w:val="11"/>
    <w:unhideWhenUsed/>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qFormat/>
    <w:uiPriority w:val="34"/>
    <w:pPr>
      <w:ind w:firstLine="420" w:firstLineChars="200"/>
    </w:pPr>
  </w:style>
  <w:style w:type="character" w:customStyle="1" w:styleId="9">
    <w:name w:val="批注框文本字符"/>
    <w:basedOn w:val="7"/>
    <w:link w:val="2"/>
    <w:semiHidden/>
    <w:uiPriority w:val="99"/>
    <w:rPr>
      <w:rFonts w:ascii="Heiti SC Light" w:hAnsi="Calibri" w:eastAsia="Heiti SC Light" w:cs="Times New Roman"/>
      <w:sz w:val="18"/>
      <w:szCs w:val="18"/>
    </w:rPr>
  </w:style>
  <w:style w:type="character" w:customStyle="1" w:styleId="10">
    <w:name w:val="页眉字符"/>
    <w:basedOn w:val="7"/>
    <w:link w:val="4"/>
    <w:uiPriority w:val="99"/>
    <w:rPr>
      <w:rFonts w:ascii="Calibri" w:hAnsi="Calibri" w:eastAsia="宋体" w:cs="Times New Roman"/>
      <w:sz w:val="18"/>
      <w:szCs w:val="18"/>
    </w:rPr>
  </w:style>
  <w:style w:type="character" w:customStyle="1" w:styleId="11">
    <w:name w:val="页脚字符"/>
    <w:basedOn w:val="7"/>
    <w:link w:val="3"/>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3</Pages>
  <Words>355</Words>
  <Characters>2030</Characters>
  <Lines>16</Lines>
  <Paragraphs>4</Paragraphs>
  <TotalTime>4</TotalTime>
  <ScaleCrop>false</ScaleCrop>
  <LinksUpToDate>false</LinksUpToDate>
  <CharactersWithSpaces>2381</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2023-02-09T10:11:00Z</dcterms:created>
  <dc:creator>xu lluvia</dc:creator>
  <cp:lastModifiedBy>L</cp:lastModifiedBy>
  <cp:lastPrinted>2023-02-09T10:11:00Z</cp:lastPrinted>
  <dcterms:modified xsi:type="dcterms:W3CDTF">2026-10-10T17:07:13Z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148AE50CD99519C70910AA671F4D6E46_42</vt:lpwstr>
  </property>
</Properties>
</file>